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194EE221" w14:textId="77777777" w:rsidR="00930EB4" w:rsidRDefault="00930EB4" w:rsidP="00930EB4">
      <w:pPr>
        <w:spacing w:line="276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proofErr w:type="spellStart"/>
      <w:r w:rsidRPr="0B1F3A6D">
        <w:rPr>
          <w:rFonts w:ascii="TH SarabunPSK" w:eastAsia="TH SarabunPSK" w:hAnsi="TH SarabunPSK" w:cs="TH SarabunPSK"/>
          <w:sz w:val="32"/>
          <w:szCs w:val="32"/>
        </w:rPr>
        <w:t>การศึกษาพฤติกรรมการถ่ายโอนพลังงานในเปลนิวตันชนิดแม่เหล็ก</w:t>
      </w:r>
      <w:proofErr w:type="spellEnd"/>
    </w:p>
    <w:p w14:paraId="00000005" w14:textId="2595000B" w:rsidR="00090BD3" w:rsidRDefault="00930EB4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นันทกร</w:t>
      </w:r>
      <w:r w:rsidR="008B68D0"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ปาปะโน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กิตติกวิน</w:t>
      </w:r>
      <w:r w:rsidR="008B68D0"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สิงหเสนา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พีระ</w:t>
      </w:r>
      <w:r w:rsidR="008B68D0"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บุญฉลาด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ชดา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ญา</w:t>
      </w:r>
      <w:proofErr w:type="spellEnd"/>
      <w:r w:rsidR="008B68D0"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ตะวันหะ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ED2FE5F" w14:textId="4A64AAAC" w:rsidR="00FE5790" w:rsidRPr="008B68D0" w:rsidRDefault="008B68D0" w:rsidP="00930EB4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930EB4">
        <w:rPr>
          <w:rFonts w:ascii="TH Sarabun New" w:hAnsi="TH Sarabun New" w:cs="TH Sarabun New" w:hint="cs"/>
          <w:i/>
          <w:iCs/>
          <w:sz w:val="24"/>
          <w:szCs w:val="24"/>
          <w:cs/>
        </w:rPr>
        <w:t>บุรีรัมย์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930EB4">
        <w:rPr>
          <w:rFonts w:ascii="TH Sarabun New" w:hAnsi="TH Sarabun New" w:cs="TH Sarabun New" w:hint="cs"/>
          <w:i/>
          <w:iCs/>
          <w:sz w:val="24"/>
          <w:szCs w:val="24"/>
          <w:cs/>
        </w:rPr>
        <w:t>สตึก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930EB4">
        <w:rPr>
          <w:rFonts w:ascii="TH Sarabun New" w:hAnsi="TH Sarabun New" w:cs="TH Sarabun New" w:hint="cs"/>
          <w:i/>
          <w:iCs/>
          <w:sz w:val="24"/>
          <w:szCs w:val="24"/>
          <w:cs/>
        </w:rPr>
        <w:t>สตึก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930EB4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บุรีรัมย์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</w:p>
    <w:p w14:paraId="00000007" w14:textId="69464F3F" w:rsidR="00090BD3" w:rsidRPr="00930EB4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930EB4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467</w:t>
      </w:r>
      <w:r w:rsidR="00930EB4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nanthakornpapano@pcshsbr.ac.th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31B3B097" w14:textId="77777777" w:rsidR="00930EB4" w:rsidRPr="00AC7671" w:rsidRDefault="00930EB4" w:rsidP="00930EB4">
      <w:pPr>
        <w:pStyle w:val="NoSpacing"/>
        <w:ind w:firstLine="720"/>
        <w:rPr>
          <w:rFonts w:ascii="TH SarabunPSK" w:hAnsi="TH SarabunPSK" w:cs="TH SarabunPSK"/>
          <w:sz w:val="32"/>
          <w:szCs w:val="32"/>
          <w:lang w:val="th"/>
        </w:rPr>
      </w:pP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โครงงานนี้มีวัตถุประสงค์เพื่อศึกษาพฤติกรรมการถ่ายโอนพลังงานแบบไม่สัมผัสของระบบเปลนิวตันชนิดแม่เหล็ก (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  <w:lang w:val="th"/>
        </w:rPr>
        <w:t>Magnetic</w:t>
      </w:r>
      <w:proofErr w:type="spellEnd"/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  <w:lang w:val="th"/>
        </w:rPr>
        <w:t>Newton's</w:t>
      </w:r>
      <w:proofErr w:type="spellEnd"/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  <w:lang w:val="th"/>
        </w:rPr>
        <w:t>Cradle</w:t>
      </w:r>
      <w:proofErr w:type="spellEnd"/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) 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และวิเคราะห์ผลของมุมปล่อยเริ่มต้นต่อพลวัตการเคลื่อนที่และเสถียรภาพของระบบ โดยประยุกต์ใช้หลักการอนุรักษ์พลังงาน กลศาสตร์แบบลากรางเจียน และแบบจำลองแรงไดโพลแม่เหล็กในการอธิบายพฤติกรรมของระบบ ทำการทดลองโดยใช้ลูกตุ้มแม่เหล็กจำนวน 3 ลูก ที่มุมปล่อยเริ่มต้น 10°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20° และ 30° ภายใต้การควบคุมตัวแปรด้านมวล ความยาวเชือก ระยะห่างระหว่างแม่เหล็ก และสภาพแวดล้อมการทดลอง จากนั้นวิเคราะห์ข้อมูลด้วยโปรแกรมวิเคราะห์การเคลื่อนที่เพื่อคำนวณความเร็ว พลังงาน และประสิทธิภาพการถ่ายโอนพลังงาน พร้อมรายงานค่าเฉลี่ยและส่วนเบี่ยงเบนมาตรฐาน</w:t>
      </w:r>
    </w:p>
    <w:p w14:paraId="558A7136" w14:textId="77777777" w:rsidR="00930EB4" w:rsidRPr="00AC7671" w:rsidRDefault="00930EB4" w:rsidP="00930EB4">
      <w:pPr>
        <w:pStyle w:val="NoSpacing"/>
        <w:ind w:firstLine="720"/>
        <w:rPr>
          <w:rFonts w:ascii="TH SarabunPSK" w:hAnsi="TH SarabunPSK" w:cs="TH SarabunPSK"/>
          <w:sz w:val="32"/>
          <w:szCs w:val="32"/>
          <w:lang w:val="th"/>
        </w:rPr>
      </w:pP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ผลการศึกษาพบว่า มุมปล่อยเริ่มต้น 10° ให้ระบบมีเสถียรภาพในการถ่ายโอนพลังงานสูงที่สุด โดยมีประสิทธิภาพการถ่ายโอนพลังงานเฉลี่ย </w:t>
      </w:r>
      <w:r w:rsidRPr="00AC7671">
        <w:rPr>
          <w:rFonts w:ascii="TH SarabunPSK" w:hAnsi="TH SarabunPSK" w:cs="TH SarabunPSK" w:hint="cs"/>
          <w:sz w:val="32"/>
          <w:szCs w:val="32"/>
        </w:rPr>
        <w:t>(0.</w:t>
      </w:r>
      <w:r>
        <w:rPr>
          <w:rFonts w:ascii="TH SarabunPSK" w:hAnsi="TH SarabunPSK" w:cs="TH SarabunPSK" w:hint="cs"/>
          <w:sz w:val="32"/>
          <w:szCs w:val="32"/>
          <w:cs/>
        </w:rPr>
        <w:t>0599</w:t>
      </w:r>
      <w:r w:rsidRPr="00AC7671">
        <w:rPr>
          <w:rFonts w:ascii="TH SarabunPSK" w:hAnsi="TH SarabunPSK" w:cs="TH SarabunPSK" w:hint="cs"/>
          <w:sz w:val="32"/>
          <w:szCs w:val="32"/>
        </w:rPr>
        <w:t xml:space="preserve"> ± 0.062)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รองลงมาคือมุม 20° (</w:t>
      </w:r>
      <w:r>
        <w:rPr>
          <w:rFonts w:ascii="TH SarabunPSK" w:hAnsi="TH SarabunPSK" w:cs="TH SarabunPSK" w:hint="cs"/>
          <w:sz w:val="32"/>
          <w:szCs w:val="32"/>
          <w:cs/>
          <w:lang w:val="th"/>
        </w:rPr>
        <w:t>0.00097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 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>±</w:t>
      </w:r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0.0006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) </w:t>
      </w:r>
      <w:r w:rsidRPr="00AC76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และ 30° </w:t>
      </w:r>
      <w:r>
        <w:rPr>
          <w:rFonts w:ascii="TH SarabunPSK" w:hAnsi="TH SarabunPSK" w:cs="TH SarabunPSK"/>
          <w:sz w:val="32"/>
          <w:szCs w:val="32"/>
        </w:rPr>
        <w:t>(</w:t>
      </w:r>
      <w:r w:rsidRPr="00071FA8">
        <w:rPr>
          <w:rFonts w:ascii="TH SarabunPSK" w:hAnsi="TH SarabunPSK" w:cs="TH SarabunPSK"/>
          <w:sz w:val="32"/>
          <w:szCs w:val="32"/>
        </w:rPr>
        <w:t>0.</w:t>
      </w:r>
      <w:r>
        <w:rPr>
          <w:rFonts w:ascii="TH SarabunPSK" w:hAnsi="TH SarabunPSK" w:cs="TH SarabunPSK" w:hint="cs"/>
          <w:sz w:val="32"/>
          <w:szCs w:val="32"/>
          <w:cs/>
        </w:rPr>
        <w:t>567</w:t>
      </w:r>
      <w:r w:rsidRPr="00071FA8">
        <w:rPr>
          <w:rFonts w:ascii="TH SarabunPSK" w:hAnsi="TH SarabunPSK" w:cs="TH SarabunPSK"/>
          <w:sz w:val="32"/>
          <w:szCs w:val="32"/>
        </w:rPr>
        <w:t xml:space="preserve"> ± 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1498 </w:t>
      </w:r>
      <w:r>
        <w:rPr>
          <w:rFonts w:ascii="TH SarabunPSK" w:hAnsi="TH SarabunPSK" w:cs="TH SarabunPSK"/>
          <w:sz w:val="32"/>
          <w:szCs w:val="32"/>
        </w:rPr>
        <w:t>)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ตามลำดับ ขณะที่ความเร็วสูงสุดของลูกตุ้มปลายแถวมีค่าเฉลี่ย </w:t>
      </w:r>
      <w:r>
        <w:rPr>
          <w:rFonts w:ascii="TH SarabunPSK" w:hAnsi="TH SarabunPSK" w:cs="TH SarabunPSK"/>
          <w:sz w:val="32"/>
          <w:szCs w:val="32"/>
        </w:rPr>
        <w:t>(</w:t>
      </w:r>
      <w:r w:rsidRPr="007A00D6">
        <w:rPr>
          <w:rFonts w:ascii="TH SarabunPSK" w:hAnsi="TH SarabunPSK" w:cs="TH SarabunPSK"/>
          <w:sz w:val="32"/>
          <w:szCs w:val="32"/>
        </w:rPr>
        <w:t>0.</w:t>
      </w:r>
      <w:r>
        <w:rPr>
          <w:rFonts w:ascii="TH SarabunPSK" w:hAnsi="TH SarabunPSK" w:cs="TH SarabunPSK" w:hint="cs"/>
          <w:sz w:val="32"/>
          <w:szCs w:val="32"/>
          <w:cs/>
        </w:rPr>
        <w:t>0082</w:t>
      </w:r>
      <w:r w:rsidRPr="007A00D6">
        <w:rPr>
          <w:rFonts w:ascii="TH SarabunPSK" w:hAnsi="TH SarabunPSK" w:cs="TH SarabunPSK"/>
          <w:sz w:val="32"/>
          <w:szCs w:val="32"/>
        </w:rPr>
        <w:t xml:space="preserve"> ± 0.00</w:t>
      </w:r>
      <w:r>
        <w:rPr>
          <w:rFonts w:ascii="TH SarabunPSK" w:hAnsi="TH SarabunPSK" w:cs="TH SarabunPSK" w:hint="cs"/>
          <w:sz w:val="32"/>
          <w:szCs w:val="32"/>
          <w:cs/>
        </w:rPr>
        <w:t>746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>m/s,</w:t>
      </w:r>
      <w:r w:rsidRPr="00071FA8">
        <w:t xml:space="preserve"> </w:t>
      </w:r>
      <w:r>
        <w:t>(</w:t>
      </w:r>
      <w:r w:rsidRPr="00071FA8">
        <w:rPr>
          <w:rFonts w:ascii="TH SarabunPSK" w:hAnsi="TH SarabunPSK" w:cs="TH SarabunPSK"/>
          <w:sz w:val="32"/>
          <w:szCs w:val="32"/>
        </w:rPr>
        <w:t>0.0</w:t>
      </w:r>
      <w:r>
        <w:rPr>
          <w:rFonts w:ascii="TH SarabunPSK" w:hAnsi="TH SarabunPSK" w:cs="TH SarabunPSK" w:hint="cs"/>
          <w:sz w:val="32"/>
          <w:szCs w:val="32"/>
          <w:cs/>
        </w:rPr>
        <w:t>036</w:t>
      </w:r>
      <w:r w:rsidRPr="00071FA8">
        <w:rPr>
          <w:rFonts w:ascii="TH SarabunPSK" w:hAnsi="TH SarabunPSK" w:cs="TH SarabunPSK"/>
          <w:sz w:val="32"/>
          <w:szCs w:val="32"/>
        </w:rPr>
        <w:t xml:space="preserve"> ± 0.00</w:t>
      </w:r>
      <w:r>
        <w:rPr>
          <w:rFonts w:ascii="TH SarabunPSK" w:hAnsi="TH SarabunPSK" w:cs="TH SarabunPSK" w:hint="cs"/>
          <w:sz w:val="32"/>
          <w:szCs w:val="32"/>
          <w:cs/>
        </w:rPr>
        <w:t>208</w:t>
      </w:r>
      <w:r>
        <w:rPr>
          <w:rFonts w:ascii="TH SarabunPSK" w:hAnsi="TH SarabunPSK" w:cs="TH SarabunPSK"/>
          <w:sz w:val="32"/>
          <w:szCs w:val="32"/>
        </w:rPr>
        <w:t>)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 m/s 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(</w:t>
      </w:r>
      <w:r w:rsidRPr="00071FA8">
        <w:rPr>
          <w:rFonts w:ascii="TH SarabunPSK" w:hAnsi="TH SarabunPSK" w:cs="TH SarabunPSK"/>
          <w:sz w:val="32"/>
          <w:szCs w:val="32"/>
        </w:rPr>
        <w:t>0.</w:t>
      </w:r>
      <w:r>
        <w:rPr>
          <w:rFonts w:ascii="TH SarabunPSK" w:hAnsi="TH SarabunPSK" w:cs="TH SarabunPSK" w:hint="cs"/>
          <w:sz w:val="32"/>
          <w:szCs w:val="32"/>
          <w:cs/>
        </w:rPr>
        <w:t>02928</w:t>
      </w:r>
      <w:r w:rsidRPr="00071FA8">
        <w:rPr>
          <w:rFonts w:ascii="TH SarabunPSK" w:hAnsi="TH SarabunPSK" w:cs="TH SarabunPSK"/>
          <w:sz w:val="32"/>
          <w:szCs w:val="32"/>
        </w:rPr>
        <w:t xml:space="preserve"> ± 0.0</w:t>
      </w:r>
      <w:r>
        <w:rPr>
          <w:rFonts w:ascii="TH SarabunPSK" w:hAnsi="TH SarabunPSK" w:cs="TH SarabunPSK" w:hint="cs"/>
          <w:sz w:val="32"/>
          <w:szCs w:val="32"/>
          <w:cs/>
        </w:rPr>
        <w:t>2928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m/s </w:t>
      </w:r>
      <w:r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ตามลำดับ ผลการวิเคราะห์แสดงให้เห็นว่า เมื่อมุมปล่อยเพิ่มขึ้น ระบบมีแอมพลิจูดการสั่นและความไม่เสถียรของการเคลื่อนที่เพิ่มขึ้น ส่งผลให้เกิดการสูญเสียพลังงานจากแรงต้านอากาศ แรงเสียดทานที่จุดแขวน และการหน่วงของระบบมากขึ้น</w:t>
      </w:r>
    </w:p>
    <w:p w14:paraId="05EBD4B0" w14:textId="77777777" w:rsidR="00930EB4" w:rsidRDefault="00930EB4" w:rsidP="008B68D0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</w:p>
    <w:p w14:paraId="33918663" w14:textId="77777777" w:rsidR="00930EB4" w:rsidRDefault="00930EB4" w:rsidP="008B68D0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bidi="th"/>
        </w:rPr>
      </w:pPr>
    </w:p>
    <w:p w14:paraId="1230DB0F" w14:textId="20EE8874" w:rsidR="00930EB4" w:rsidRPr="00AC7671" w:rsidRDefault="008B68D0" w:rsidP="00930EB4">
      <w:pPr>
        <w:pStyle w:val="NoSpacing"/>
        <w:rPr>
          <w:rFonts w:ascii="TH SarabunPSK" w:hAnsi="TH SarabunPSK" w:cs="TH SarabunPSK"/>
          <w:sz w:val="32"/>
          <w:szCs w:val="32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 xml:space="preserve"> เปลนิวตันชนิดแม่เหล็ก</w:t>
      </w:r>
      <w:r w:rsidR="00930EB4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การถ่ายโอนพลังงาน</w:t>
      </w:r>
      <w:r w:rsidR="00930EB4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ลูกตุ้มแม่เหล็ก</w:t>
      </w:r>
      <w:r w:rsidR="00930EB4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กลศาสตร์แบบลากรางเจียน</w:t>
      </w:r>
      <w:r w:rsidR="00930EB4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แรง</w:t>
      </w:r>
      <w:proofErr w:type="spellStart"/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ได</w:t>
      </w:r>
      <w:proofErr w:type="spellEnd"/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โพลแม่เหล็ก</w:t>
      </w:r>
      <w:r w:rsidR="00930EB4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930EB4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ระบบสั่น</w:t>
      </w:r>
    </w:p>
    <w:p w14:paraId="74B0D984" w14:textId="77508B5D" w:rsidR="0086094A" w:rsidRPr="008B68D0" w:rsidRDefault="0086094A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A707" w14:textId="77777777" w:rsidR="00C53037" w:rsidRDefault="00C53037">
      <w:pPr>
        <w:spacing w:after="0" w:line="240" w:lineRule="auto"/>
      </w:pPr>
      <w:r>
        <w:separator/>
      </w:r>
    </w:p>
  </w:endnote>
  <w:endnote w:type="continuationSeparator" w:id="0">
    <w:p w14:paraId="0B35B915" w14:textId="77777777" w:rsidR="00C53037" w:rsidRDefault="00C5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89EC" w14:textId="77777777" w:rsidR="00C53037" w:rsidRDefault="00C53037">
      <w:pPr>
        <w:spacing w:after="0" w:line="240" w:lineRule="auto"/>
      </w:pPr>
      <w:r>
        <w:separator/>
      </w:r>
    </w:p>
  </w:footnote>
  <w:footnote w:type="continuationSeparator" w:id="0">
    <w:p w14:paraId="10DC0F26" w14:textId="77777777" w:rsidR="00C53037" w:rsidRDefault="00C5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C530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C530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8372D"/>
    <w:rsid w:val="004E0A4F"/>
    <w:rsid w:val="00556AF0"/>
    <w:rsid w:val="005D4CC6"/>
    <w:rsid w:val="005E0658"/>
    <w:rsid w:val="006932F6"/>
    <w:rsid w:val="00753E86"/>
    <w:rsid w:val="007604B5"/>
    <w:rsid w:val="0086094A"/>
    <w:rsid w:val="008B68D0"/>
    <w:rsid w:val="00930EB4"/>
    <w:rsid w:val="00962C47"/>
    <w:rsid w:val="009D6F84"/>
    <w:rsid w:val="00A003C2"/>
    <w:rsid w:val="00B57C95"/>
    <w:rsid w:val="00BD4C9D"/>
    <w:rsid w:val="00C53037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khao gong</cp:lastModifiedBy>
  <cp:revision>2</cp:revision>
  <cp:lastPrinted>2026-07-14T16:13:00Z</cp:lastPrinted>
  <dcterms:created xsi:type="dcterms:W3CDTF">2026-07-14T16:17:00Z</dcterms:created>
  <dcterms:modified xsi:type="dcterms:W3CDTF">2026-07-14T16:17:00Z</dcterms:modified>
</cp:coreProperties>
</file>