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56F20E92" w14:textId="1F25D693" w:rsidR="00511ACC" w:rsidRPr="00615A3E" w:rsidRDefault="00511ACC" w:rsidP="00511ACC">
      <w:pPr>
        <w:widowControl w:val="0"/>
        <w:pBdr>
          <w:top w:val="nil"/>
          <w:left w:val="nil"/>
          <w:bottom w:val="nil"/>
          <w:right w:val="nil"/>
          <w:between w:val="nil"/>
        </w:pBdr>
        <w:spacing w:line="263" w:lineRule="auto"/>
        <w:ind w:left="470" w:right="253"/>
        <w:jc w:val="center"/>
        <w:rPr>
          <w:rFonts w:ascii="TH SarabunPSK" w:eastAsia="Sarabun" w:hAnsi="TH SarabunPSK" w:cs="TH SarabunPSK"/>
          <w:b/>
          <w:bCs/>
          <w:noProof/>
          <w:sz w:val="32"/>
          <w:szCs w:val="32"/>
          <w:lang w:val="en-US"/>
        </w:rPr>
      </w:pPr>
      <w:r w:rsidRPr="00615A3E">
        <w:rPr>
          <w:rFonts w:ascii="TH SarabunPSK" w:eastAsia="Sarabun" w:hAnsi="TH SarabunPSK" w:cs="TH SarabunPSK" w:hint="cs"/>
          <w:b/>
          <w:bCs/>
          <w:noProof/>
          <w:sz w:val="32"/>
          <w:szCs w:val="32"/>
          <w:lang w:val="en-US"/>
        </w:rPr>
        <w:t>Estimation of Spinal Curvature without Radiation Exposure Using a Polynomial Regression Equation Calculated from Shoulder, Waist and Hip Inclination Angles</w:t>
      </w:r>
    </w:p>
    <w:p w14:paraId="18EC956E" w14:textId="1E703E7E" w:rsidR="00511ACC" w:rsidRPr="00615A3E" w:rsidRDefault="00511ACC" w:rsidP="00511ACC">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r w:rsidRPr="00615A3E">
        <w:rPr>
          <w:rFonts w:ascii="TH SarabunPSK" w:eastAsia="Sarabun" w:hAnsi="TH SarabunPSK" w:cs="TH SarabunPSK" w:hint="cs"/>
          <w:noProof/>
          <w:color w:val="000000"/>
          <w:sz w:val="28"/>
          <w:szCs w:val="28"/>
          <w:lang w:val="en-US"/>
        </w:rPr>
        <w:t>Aratchaporn Jiraprathip</w:t>
      </w:r>
      <w:r w:rsidRPr="00615A3E">
        <w:rPr>
          <w:rFonts w:ascii="TH SarabunPSK" w:eastAsia="Sarabun" w:hAnsi="TH SarabunPSK" w:cs="TH SarabunPSK" w:hint="cs"/>
          <w:noProof/>
          <w:color w:val="000000"/>
          <w:sz w:val="28"/>
          <w:szCs w:val="28"/>
          <w:vertAlign w:val="superscript"/>
          <w:lang w:val="en-US"/>
        </w:rPr>
        <w:t>1</w:t>
      </w:r>
      <w:r w:rsidRPr="00615A3E">
        <w:rPr>
          <w:rFonts w:ascii="TH SarabunPSK" w:eastAsia="Sarabun" w:hAnsi="TH SarabunPSK" w:cs="TH SarabunPSK" w:hint="cs"/>
          <w:noProof/>
          <w:color w:val="000000"/>
          <w:sz w:val="28"/>
          <w:szCs w:val="28"/>
          <w:lang w:val="en-US"/>
        </w:rPr>
        <w:t>, Punyarat Boonyou</w:t>
      </w:r>
      <w:r w:rsidRPr="00615A3E">
        <w:rPr>
          <w:rFonts w:ascii="TH SarabunPSK" w:eastAsia="Sarabun" w:hAnsi="TH SarabunPSK" w:cs="TH SarabunPSK" w:hint="cs"/>
          <w:noProof/>
          <w:color w:val="000000"/>
          <w:sz w:val="28"/>
          <w:szCs w:val="28"/>
          <w:vertAlign w:val="superscript"/>
          <w:lang w:val="en-US"/>
        </w:rPr>
        <w:t>1</w:t>
      </w:r>
      <w:r w:rsidRPr="00615A3E">
        <w:rPr>
          <w:rFonts w:ascii="TH SarabunPSK" w:eastAsia="Sarabun" w:hAnsi="TH SarabunPSK" w:cs="TH SarabunPSK" w:hint="cs"/>
          <w:noProof/>
          <w:color w:val="000000"/>
          <w:sz w:val="28"/>
          <w:szCs w:val="28"/>
          <w:lang w:val="en-US"/>
        </w:rPr>
        <w:t xml:space="preserve"> Tritsawan Suddee</w:t>
      </w:r>
      <w:r w:rsidRPr="00615A3E">
        <w:rPr>
          <w:rFonts w:ascii="TH SarabunPSK" w:eastAsia="Sarabun" w:hAnsi="TH SarabunPSK" w:cs="TH SarabunPSK" w:hint="cs"/>
          <w:noProof/>
          <w:color w:val="000000"/>
          <w:sz w:val="28"/>
          <w:szCs w:val="28"/>
          <w:vertAlign w:val="superscript"/>
          <w:lang w:val="en-US"/>
        </w:rPr>
        <w:t>1</w:t>
      </w:r>
      <w:r w:rsidRPr="00615A3E">
        <w:rPr>
          <w:rFonts w:ascii="TH SarabunPSK" w:eastAsia="Sarabun" w:hAnsi="TH SarabunPSK" w:cs="TH SarabunPSK" w:hint="cs"/>
          <w:noProof/>
          <w:color w:val="000000"/>
          <w:sz w:val="28"/>
          <w:szCs w:val="28"/>
          <w:lang w:val="en-US"/>
        </w:rPr>
        <w:t>*</w:t>
      </w:r>
    </w:p>
    <w:p w14:paraId="472D530F" w14:textId="531A27FC" w:rsidR="00511ACC" w:rsidRPr="00615A3E" w:rsidRDefault="00511ACC" w:rsidP="00511ACC">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szCs w:val="28"/>
          <w:lang w:val="en-US"/>
        </w:rPr>
      </w:pPr>
      <w:r w:rsidRPr="00615A3E">
        <w:rPr>
          <w:rFonts w:ascii="TH SarabunPSK" w:eastAsia="Sarabun" w:hAnsi="TH SarabunPSK" w:cs="TH SarabunPSK" w:hint="cs"/>
          <w:noProof/>
          <w:color w:val="000000"/>
          <w:sz w:val="28"/>
          <w:szCs w:val="28"/>
          <w:lang w:val="en-US"/>
        </w:rPr>
        <w:t>Sonruedee Srisawat</w:t>
      </w:r>
      <w:r w:rsidRPr="00615A3E">
        <w:rPr>
          <w:rFonts w:ascii="TH SarabunPSK" w:eastAsia="Sarabun" w:hAnsi="TH SarabunPSK" w:cs="TH SarabunPSK" w:hint="cs"/>
          <w:noProof/>
          <w:color w:val="000000"/>
          <w:sz w:val="28"/>
          <w:szCs w:val="28"/>
          <w:vertAlign w:val="superscript"/>
          <w:lang w:val="en-US"/>
        </w:rPr>
        <w:t>1</w:t>
      </w:r>
      <w:r w:rsidRPr="00615A3E">
        <w:rPr>
          <w:rFonts w:ascii="TH SarabunPSK" w:eastAsia="Sarabun" w:hAnsi="TH SarabunPSK" w:cs="TH SarabunPSK" w:hint="cs"/>
          <w:noProof/>
          <w:color w:val="000000"/>
          <w:sz w:val="28"/>
          <w:szCs w:val="28"/>
          <w:lang w:val="en-US"/>
        </w:rPr>
        <w:t xml:space="preserve"> </w:t>
      </w:r>
      <w:r w:rsidR="00615A3E" w:rsidRPr="00615A3E">
        <w:rPr>
          <w:rFonts w:ascii="TH SarabunPSK" w:eastAsia="Sarabun" w:hAnsi="TH SarabunPSK" w:cs="TH SarabunPSK" w:hint="cs"/>
          <w:noProof/>
          <w:color w:val="000000"/>
          <w:sz w:val="28"/>
          <w:szCs w:val="28"/>
          <w:lang w:val="en-US"/>
        </w:rPr>
        <w:t>and</w:t>
      </w:r>
      <w:r w:rsidRPr="00615A3E">
        <w:rPr>
          <w:rFonts w:ascii="TH SarabunPSK" w:eastAsia="Sarabun" w:hAnsi="TH SarabunPSK" w:cs="TH SarabunPSK" w:hint="cs"/>
          <w:noProof/>
          <w:color w:val="000000"/>
          <w:sz w:val="28"/>
          <w:szCs w:val="28"/>
          <w:vertAlign w:val="superscript"/>
          <w:lang w:val="en-US"/>
        </w:rPr>
        <w:t> </w:t>
      </w:r>
      <w:r w:rsidRPr="00615A3E">
        <w:rPr>
          <w:rFonts w:ascii="TH SarabunPSK" w:eastAsia="Sarabun" w:hAnsi="TH SarabunPSK" w:cs="TH SarabunPSK" w:hint="cs"/>
          <w:noProof/>
          <w:color w:val="000000"/>
          <w:sz w:val="28"/>
          <w:szCs w:val="28"/>
          <w:lang w:val="en-US"/>
        </w:rPr>
        <w:t>Supreeya Phothong</w:t>
      </w:r>
      <w:r w:rsidRPr="00615A3E">
        <w:rPr>
          <w:rFonts w:ascii="TH SarabunPSK" w:eastAsia="Sarabun" w:hAnsi="TH SarabunPSK" w:cs="TH SarabunPSK" w:hint="cs"/>
          <w:noProof/>
          <w:color w:val="000000"/>
          <w:sz w:val="28"/>
          <w:szCs w:val="28"/>
          <w:vertAlign w:val="superscript"/>
          <w:lang w:val="en-US"/>
        </w:rPr>
        <w:t>2</w:t>
      </w:r>
    </w:p>
    <w:p w14:paraId="30D845D6" w14:textId="77777777" w:rsidR="00511ACC" w:rsidRPr="00615A3E" w:rsidRDefault="00511ACC" w:rsidP="00511ACC">
      <w:pPr>
        <w:widowControl w:val="0"/>
        <w:pBdr>
          <w:top w:val="nil"/>
          <w:left w:val="nil"/>
          <w:bottom w:val="nil"/>
          <w:right w:val="nil"/>
          <w:between w:val="nil"/>
        </w:pBdr>
        <w:spacing w:after="0" w:line="240" w:lineRule="auto"/>
        <w:ind w:left="215" w:right="-6"/>
        <w:jc w:val="center"/>
        <w:rPr>
          <w:rFonts w:ascii="TH SarabunPSK" w:eastAsia="Sarabun" w:hAnsi="TH SarabunPSK" w:cs="TH SarabunPSK"/>
          <w:i/>
          <w:iCs/>
          <w:noProof/>
          <w:color w:val="000000"/>
          <w:sz w:val="24"/>
          <w:szCs w:val="24"/>
          <w:lang w:val="en-US"/>
        </w:rPr>
      </w:pPr>
      <w:r w:rsidRPr="00615A3E">
        <w:rPr>
          <w:rFonts w:ascii="TH SarabunPSK" w:eastAsia="Sarabun" w:hAnsi="TH SarabunPSK" w:cs="TH SarabunPSK" w:hint="cs"/>
          <w:i/>
          <w:iCs/>
          <w:noProof/>
          <w:color w:val="000000"/>
          <w:sz w:val="24"/>
          <w:szCs w:val="24"/>
          <w:vertAlign w:val="superscript"/>
          <w:lang w:val="en-US"/>
        </w:rPr>
        <w:t>1</w:t>
      </w:r>
      <w:r w:rsidRPr="00615A3E">
        <w:rPr>
          <w:rFonts w:ascii="TH SarabunPSK" w:eastAsia="Sarabun" w:hAnsi="TH SarabunPSK" w:cs="TH SarabunPSK" w:hint="cs"/>
          <w:i/>
          <w:iCs/>
          <w:noProof/>
          <w:color w:val="000000"/>
          <w:sz w:val="24"/>
          <w:szCs w:val="24"/>
          <w:lang w:val="en-US"/>
        </w:rPr>
        <w:t>Princess Chulabhorn Science High School Phetchaburi, Kao-Yai, Cha-Am, Phetchaburi</w:t>
      </w:r>
    </w:p>
    <w:p w14:paraId="73FBDEFB" w14:textId="77777777" w:rsidR="00511ACC" w:rsidRPr="00615A3E" w:rsidRDefault="00511ACC" w:rsidP="00511ACC">
      <w:pPr>
        <w:widowControl w:val="0"/>
        <w:pBdr>
          <w:top w:val="nil"/>
          <w:left w:val="nil"/>
          <w:bottom w:val="nil"/>
          <w:right w:val="nil"/>
          <w:between w:val="nil"/>
        </w:pBdr>
        <w:spacing w:after="0" w:line="240" w:lineRule="auto"/>
        <w:ind w:left="215" w:right="-6"/>
        <w:jc w:val="center"/>
        <w:rPr>
          <w:rFonts w:ascii="TH SarabunPSK" w:eastAsia="Sarabun" w:hAnsi="TH SarabunPSK" w:cs="TH SarabunPSK"/>
          <w:i/>
          <w:iCs/>
          <w:noProof/>
          <w:color w:val="000000"/>
          <w:sz w:val="24"/>
          <w:szCs w:val="24"/>
          <w:lang w:val="en-US"/>
        </w:rPr>
      </w:pPr>
      <w:r w:rsidRPr="00615A3E">
        <w:rPr>
          <w:rFonts w:ascii="TH SarabunPSK" w:eastAsia="Sarabun" w:hAnsi="TH SarabunPSK" w:cs="TH SarabunPSK" w:hint="cs"/>
          <w:i/>
          <w:iCs/>
          <w:noProof/>
          <w:color w:val="000000"/>
          <w:sz w:val="24"/>
          <w:szCs w:val="24"/>
          <w:vertAlign w:val="superscript"/>
          <w:lang w:val="en-US"/>
        </w:rPr>
        <w:t>2</w:t>
      </w:r>
      <w:r w:rsidRPr="00615A3E">
        <w:rPr>
          <w:rFonts w:ascii="TH SarabunPSK" w:eastAsia="Sarabun" w:hAnsi="TH SarabunPSK" w:cs="TH SarabunPSK" w:hint="cs"/>
          <w:i/>
          <w:iCs/>
          <w:noProof/>
          <w:color w:val="000000"/>
          <w:sz w:val="24"/>
          <w:szCs w:val="24"/>
          <w:lang w:val="en-US"/>
        </w:rPr>
        <w:t>Bangkok Hospital Hua Hin, Hua Hin, Hua Hin, Prachuap Khiri Khan</w:t>
      </w:r>
    </w:p>
    <w:p w14:paraId="20A644E3" w14:textId="794044DD" w:rsidR="00511ACC" w:rsidRPr="00615A3E" w:rsidRDefault="00511ACC" w:rsidP="00511ACC">
      <w:pPr>
        <w:widowControl w:val="0"/>
        <w:pBdr>
          <w:top w:val="nil"/>
          <w:left w:val="nil"/>
          <w:bottom w:val="nil"/>
          <w:right w:val="nil"/>
          <w:between w:val="nil"/>
        </w:pBdr>
        <w:spacing w:after="0" w:line="240" w:lineRule="auto"/>
        <w:ind w:left="215" w:right="-6"/>
        <w:jc w:val="center"/>
        <w:rPr>
          <w:rFonts w:ascii="TH SarabunPSK" w:eastAsia="Sarabun" w:hAnsi="TH SarabunPSK" w:cs="TH SarabunPSK"/>
          <w:i/>
          <w:iCs/>
          <w:noProof/>
          <w:color w:val="000000"/>
          <w:sz w:val="24"/>
          <w:szCs w:val="24"/>
          <w:lang w:val="en-US"/>
        </w:rPr>
      </w:pPr>
      <w:r w:rsidRPr="00615A3E">
        <w:rPr>
          <w:rFonts w:ascii="TH SarabunPSK" w:eastAsia="Sarabun" w:hAnsi="TH SarabunPSK" w:cs="TH SarabunPSK" w:hint="cs"/>
          <w:i/>
          <w:iCs/>
          <w:noProof/>
          <w:color w:val="000000"/>
          <w:sz w:val="24"/>
          <w:szCs w:val="24"/>
          <w:lang w:val="en-US"/>
        </w:rPr>
        <w:t>*Email : 67tritsawan.sud@pccphet.ac.th</w:t>
      </w:r>
    </w:p>
    <w:p w14:paraId="0CB20A23" w14:textId="5214290C" w:rsidR="00511ACC" w:rsidRPr="00AB0028" w:rsidRDefault="00511ACC" w:rsidP="00615A3E">
      <w:pPr>
        <w:pBdr>
          <w:top w:val="nil"/>
          <w:left w:val="nil"/>
          <w:bottom w:val="nil"/>
          <w:right w:val="nil"/>
          <w:between w:val="nil"/>
        </w:pBdr>
        <w:spacing w:after="0" w:line="240" w:lineRule="auto"/>
        <w:jc w:val="center"/>
        <w:rPr>
          <w:rFonts w:ascii="TH SarabunPSK" w:eastAsia="TH Sarabun PSK" w:hAnsi="TH SarabunPSK" w:cs="TH SarabunPSK"/>
          <w:b/>
          <w:bCs/>
          <w:noProof/>
          <w:color w:val="000000"/>
          <w:sz w:val="32"/>
          <w:szCs w:val="32"/>
          <w:lang w:val="en-US"/>
        </w:rPr>
      </w:pPr>
      <w:r w:rsidRPr="00AB0028">
        <w:rPr>
          <w:rFonts w:ascii="TH SarabunPSK" w:eastAsia="TH Sarabun PSK" w:hAnsi="TH SarabunPSK" w:cs="TH SarabunPSK" w:hint="cs"/>
          <w:b/>
          <w:bCs/>
          <w:noProof/>
          <w:color w:val="000000"/>
          <w:sz w:val="32"/>
          <w:szCs w:val="32"/>
          <w:lang w:val="en-US"/>
        </w:rPr>
        <w:t>Abstract</w:t>
      </w:r>
    </w:p>
    <w:p w14:paraId="2B97E055" w14:textId="13CCF913" w:rsidR="009367D4" w:rsidRDefault="00511ACC" w:rsidP="000417F2">
      <w:pPr>
        <w:pBdr>
          <w:top w:val="nil"/>
          <w:left w:val="nil"/>
          <w:bottom w:val="nil"/>
          <w:right w:val="nil"/>
          <w:between w:val="nil"/>
        </w:pBdr>
        <w:spacing w:after="0" w:line="240" w:lineRule="auto"/>
        <w:ind w:firstLine="720"/>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hint="cs"/>
          <w:noProof/>
          <w:color w:val="000000"/>
          <w:sz w:val="32"/>
          <w:szCs w:val="32"/>
          <w:lang w:val="en-US"/>
        </w:rPr>
        <w:t xml:space="preserve">Scoliosis is a condition </w:t>
      </w:r>
      <w:r w:rsidR="009367D4">
        <w:rPr>
          <w:rFonts w:ascii="TH SarabunPSK" w:eastAsia="TH Sarabun PSK" w:hAnsi="TH SarabunPSK" w:cs="TH SarabunPSK"/>
          <w:noProof/>
          <w:color w:val="000000"/>
          <w:sz w:val="32"/>
          <w:szCs w:val="32"/>
          <w:lang w:val="en-US"/>
        </w:rPr>
        <w:t>characterized by abnormal curvature of the spine</w:t>
      </w:r>
      <w:r w:rsidRPr="00AB0028">
        <w:rPr>
          <w:rFonts w:ascii="TH SarabunPSK" w:eastAsia="TH Sarabun PSK" w:hAnsi="TH SarabunPSK" w:cs="TH SarabunPSK" w:hint="cs"/>
          <w:noProof/>
          <w:color w:val="000000"/>
          <w:sz w:val="32"/>
          <w:szCs w:val="32"/>
          <w:lang w:val="en-US"/>
        </w:rPr>
        <w:t xml:space="preserve">, which </w:t>
      </w:r>
      <w:r w:rsidR="009367D4">
        <w:rPr>
          <w:rFonts w:ascii="TH SarabunPSK" w:eastAsia="TH Sarabun PSK" w:hAnsi="TH SarabunPSK" w:cs="TH SarabunPSK"/>
          <w:noProof/>
          <w:color w:val="000000"/>
          <w:sz w:val="32"/>
          <w:szCs w:val="32"/>
          <w:lang w:val="en-US"/>
        </w:rPr>
        <w:t>affects</w:t>
      </w:r>
      <w:r w:rsidRPr="00AB0028">
        <w:rPr>
          <w:rFonts w:ascii="TH SarabunPSK" w:eastAsia="TH Sarabun PSK" w:hAnsi="TH SarabunPSK" w:cs="TH SarabunPSK" w:hint="cs"/>
          <w:noProof/>
          <w:color w:val="000000"/>
          <w:sz w:val="32"/>
          <w:szCs w:val="32"/>
          <w:lang w:val="en-US"/>
        </w:rPr>
        <w:t xml:space="preserve"> posture, balance, and </w:t>
      </w:r>
      <w:r w:rsidR="009367D4">
        <w:rPr>
          <w:rFonts w:ascii="TH SarabunPSK" w:eastAsia="TH Sarabun PSK" w:hAnsi="TH SarabunPSK" w:cs="TH SarabunPSK"/>
          <w:noProof/>
          <w:color w:val="000000"/>
          <w:sz w:val="32"/>
          <w:szCs w:val="32"/>
          <w:lang w:val="en-US"/>
        </w:rPr>
        <w:t>overall</w:t>
      </w:r>
      <w:r w:rsidRPr="00AB0028">
        <w:rPr>
          <w:rFonts w:ascii="TH SarabunPSK" w:eastAsia="TH Sarabun PSK" w:hAnsi="TH SarabunPSK" w:cs="TH SarabunPSK" w:hint="cs"/>
          <w:noProof/>
          <w:color w:val="000000"/>
          <w:sz w:val="32"/>
          <w:szCs w:val="32"/>
          <w:lang w:val="en-US"/>
        </w:rPr>
        <w:t xml:space="preserve"> mobility. The Cobb angle obtained from X-ray imaging is the standard measure of spinal curvature; how</w:t>
      </w:r>
      <w:r w:rsidR="009367D4">
        <w:rPr>
          <w:rFonts w:ascii="TH SarabunPSK" w:eastAsia="TH Sarabun PSK" w:hAnsi="TH SarabunPSK" w:cs="TH SarabunPSK"/>
          <w:noProof/>
          <w:color w:val="000000"/>
          <w:sz w:val="32"/>
          <w:szCs w:val="32"/>
          <w:lang w:val="en-US"/>
        </w:rPr>
        <w:t>e</w:t>
      </w:r>
      <w:r w:rsidRPr="00AB0028">
        <w:rPr>
          <w:rFonts w:ascii="TH SarabunPSK" w:eastAsia="TH Sarabun PSK" w:hAnsi="TH SarabunPSK" w:cs="TH SarabunPSK" w:hint="cs"/>
          <w:noProof/>
          <w:color w:val="000000"/>
          <w:sz w:val="32"/>
          <w:szCs w:val="32"/>
          <w:lang w:val="en-US"/>
        </w:rPr>
        <w:t>ver</w:t>
      </w:r>
      <w:r w:rsidR="009367D4">
        <w:rPr>
          <w:rFonts w:ascii="TH SarabunPSK" w:eastAsia="TH Sarabun PSK" w:hAnsi="TH SarabunPSK" w:cs="TH SarabunPSK"/>
          <w:noProof/>
          <w:color w:val="000000"/>
          <w:sz w:val="32"/>
          <w:szCs w:val="32"/>
          <w:lang w:val="en-US"/>
        </w:rPr>
        <w:t>,</w:t>
      </w:r>
      <w:r w:rsidRPr="00AB0028">
        <w:rPr>
          <w:rFonts w:ascii="TH SarabunPSK" w:eastAsia="TH Sarabun PSK" w:hAnsi="TH SarabunPSK" w:cs="TH SarabunPSK" w:hint="cs"/>
          <w:noProof/>
          <w:color w:val="000000"/>
          <w:sz w:val="32"/>
          <w:szCs w:val="32"/>
          <w:lang w:val="en-US"/>
        </w:rPr>
        <w:t xml:space="preserve"> repeated exposure limits long-term follow-up. This study developed a non-radiographic method for estimating the Cobb angle </w:t>
      </w:r>
    </w:p>
    <w:p w14:paraId="253B9205" w14:textId="1CBDDCCD" w:rsidR="00511ACC" w:rsidRPr="00AB0028" w:rsidRDefault="009367D4" w:rsidP="009367D4">
      <w:pPr>
        <w:pBdr>
          <w:top w:val="nil"/>
          <w:left w:val="nil"/>
          <w:bottom w:val="nil"/>
          <w:right w:val="nil"/>
          <w:between w:val="nil"/>
        </w:pBdr>
        <w:spacing w:after="0" w:line="240" w:lineRule="auto"/>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noProof/>
          <w:color w:val="000000"/>
          <w:sz w:val="32"/>
          <w:szCs w:val="32"/>
          <w:vertAlign w:val="subscript"/>
        </w:rPr>
        <w:drawing>
          <wp:anchor distT="0" distB="0" distL="114300" distR="114300" simplePos="0" relativeHeight="251660288" behindDoc="0" locked="0" layoutInCell="1" allowOverlap="1" wp14:anchorId="312CEE86" wp14:editId="003C84F4">
            <wp:simplePos x="0" y="0"/>
            <wp:positionH relativeFrom="column">
              <wp:posOffset>4749588</wp:posOffset>
            </wp:positionH>
            <wp:positionV relativeFrom="paragraph">
              <wp:posOffset>4445</wp:posOffset>
            </wp:positionV>
            <wp:extent cx="167640" cy="220980"/>
            <wp:effectExtent l="0" t="0" r="3810" b="7620"/>
            <wp:wrapNone/>
            <wp:docPr id="6799767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 cy="220980"/>
                    </a:xfrm>
                    <a:prstGeom prst="rect">
                      <a:avLst/>
                    </a:prstGeom>
                    <a:noFill/>
                    <a:ln>
                      <a:noFill/>
                    </a:ln>
                  </pic:spPr>
                </pic:pic>
              </a:graphicData>
            </a:graphic>
          </wp:anchor>
        </w:drawing>
      </w:r>
      <w:r w:rsidRPr="00AB0028">
        <w:rPr>
          <w:rFonts w:ascii="TH SarabunPSK" w:eastAsia="TH Sarabun PSK" w:hAnsi="TH SarabunPSK" w:cs="TH SarabunPSK"/>
          <w:noProof/>
          <w:color w:val="000000"/>
          <w:sz w:val="32"/>
          <w:szCs w:val="32"/>
          <w:vertAlign w:val="subscript"/>
        </w:rPr>
        <w:drawing>
          <wp:anchor distT="0" distB="0" distL="114300" distR="114300" simplePos="0" relativeHeight="251662336" behindDoc="0" locked="0" layoutInCell="1" allowOverlap="1" wp14:anchorId="76F553F1" wp14:editId="2A687ED5">
            <wp:simplePos x="0" y="0"/>
            <wp:positionH relativeFrom="column">
              <wp:posOffset>33655</wp:posOffset>
            </wp:positionH>
            <wp:positionV relativeFrom="paragraph">
              <wp:posOffset>267970</wp:posOffset>
            </wp:positionV>
            <wp:extent cx="167640" cy="220980"/>
            <wp:effectExtent l="0" t="0" r="3810" b="7620"/>
            <wp:wrapNone/>
            <wp:docPr id="957129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 cy="220980"/>
                    </a:xfrm>
                    <a:prstGeom prst="rect">
                      <a:avLst/>
                    </a:prstGeom>
                    <a:noFill/>
                    <a:ln>
                      <a:noFill/>
                    </a:ln>
                  </pic:spPr>
                </pic:pic>
              </a:graphicData>
            </a:graphic>
          </wp:anchor>
        </w:drawing>
      </w:r>
      <w:r w:rsidRPr="00AB0028">
        <w:rPr>
          <w:rFonts w:ascii="TH SarabunPSK" w:eastAsia="TH Sarabun PSK" w:hAnsi="TH SarabunPSK" w:cs="TH SarabunPSK"/>
          <w:noProof/>
          <w:color w:val="000000"/>
          <w:sz w:val="32"/>
          <w:szCs w:val="32"/>
          <w:vertAlign w:val="subscript"/>
        </w:rPr>
        <w:drawing>
          <wp:anchor distT="0" distB="0" distL="114300" distR="114300" simplePos="0" relativeHeight="251659264" behindDoc="0" locked="0" layoutInCell="1" allowOverlap="1" wp14:anchorId="79431463" wp14:editId="4543AE70">
            <wp:simplePos x="0" y="0"/>
            <wp:positionH relativeFrom="column">
              <wp:posOffset>3934460</wp:posOffset>
            </wp:positionH>
            <wp:positionV relativeFrom="paragraph">
              <wp:posOffset>8043</wp:posOffset>
            </wp:positionV>
            <wp:extent cx="140677" cy="212869"/>
            <wp:effectExtent l="0" t="0" r="0" b="0"/>
            <wp:wrapNone/>
            <wp:docPr id="1417416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677" cy="212869"/>
                    </a:xfrm>
                    <a:prstGeom prst="rect">
                      <a:avLst/>
                    </a:prstGeom>
                    <a:noFill/>
                    <a:ln>
                      <a:noFill/>
                    </a:ln>
                  </pic:spPr>
                </pic:pic>
              </a:graphicData>
            </a:graphic>
            <wp14:sizeRelH relativeFrom="margin">
              <wp14:pctWidth>0</wp14:pctWidth>
            </wp14:sizeRelH>
          </wp:anchor>
        </w:drawing>
      </w:r>
      <w:r w:rsidRPr="00AB0028">
        <w:rPr>
          <w:rFonts w:ascii="TH SarabunPSK" w:eastAsia="TH Sarabun PSK" w:hAnsi="TH SarabunPSK" w:cs="TH SarabunPSK"/>
          <w:noProof/>
          <w:color w:val="000000"/>
          <w:sz w:val="32"/>
          <w:szCs w:val="32"/>
          <w:vertAlign w:val="subscript"/>
        </w:rPr>
        <w:drawing>
          <wp:anchor distT="0" distB="0" distL="114300" distR="114300" simplePos="0" relativeHeight="251658240" behindDoc="0" locked="0" layoutInCell="1" allowOverlap="1" wp14:anchorId="66D21E30" wp14:editId="56B3AA2E">
            <wp:simplePos x="0" y="0"/>
            <wp:positionH relativeFrom="column">
              <wp:posOffset>20743</wp:posOffset>
            </wp:positionH>
            <wp:positionV relativeFrom="paragraph">
              <wp:posOffset>57997</wp:posOffset>
            </wp:positionV>
            <wp:extent cx="160020" cy="167640"/>
            <wp:effectExtent l="0" t="0" r="0" b="3810"/>
            <wp:wrapNone/>
            <wp:docPr id="6830790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 cy="167640"/>
                    </a:xfrm>
                    <a:prstGeom prst="rect">
                      <a:avLst/>
                    </a:prstGeom>
                    <a:noFill/>
                    <a:ln>
                      <a:noFill/>
                    </a:ln>
                  </pic:spPr>
                </pic:pic>
              </a:graphicData>
            </a:graphic>
          </wp:anchor>
        </w:drawing>
      </w:r>
      <w:r w:rsidR="00615A3E" w:rsidRPr="00AB0028">
        <w:rPr>
          <w:rFonts w:ascii="TH SarabunPSK" w:eastAsia="TH Sarabun PSK" w:hAnsi="TH SarabunPSK" w:cs="TH SarabunPSK"/>
          <w:noProof/>
          <w:color w:val="000000"/>
          <w:sz w:val="32"/>
          <w:szCs w:val="32"/>
        </w:rPr>
        <w:t>(</w:t>
      </w:r>
      <w:r w:rsidR="000417F2" w:rsidRPr="00AB0028">
        <w:rPr>
          <w:rFonts w:ascii="TH SarabunPSK" w:eastAsia="TH Sarabun PSK" w:hAnsi="TH SarabunPSK" w:cs="TH SarabunPSK"/>
          <w:noProof/>
          <w:color w:val="000000"/>
          <w:sz w:val="32"/>
          <w:szCs w:val="32"/>
        </w:rPr>
        <w:t xml:space="preserve">   </w:t>
      </w:r>
      <w:r w:rsidR="00615A3E" w:rsidRPr="00AB0028">
        <w:rPr>
          <w:rFonts w:ascii="TH SarabunPSK" w:eastAsia="TH Sarabun PSK" w:hAnsi="TH SarabunPSK" w:cs="TH SarabunPSK"/>
          <w:noProof/>
          <w:color w:val="000000"/>
          <w:sz w:val="32"/>
          <w:szCs w:val="32"/>
        </w:rPr>
        <w:t>)</w:t>
      </w:r>
      <w:r w:rsidR="00511ACC" w:rsidRPr="00AB0028">
        <w:rPr>
          <w:rFonts w:ascii="TH SarabunPSK" w:eastAsia="TH Sarabun PSK" w:hAnsi="TH SarabunPSK" w:cs="TH SarabunPSK" w:hint="cs"/>
          <w:noProof/>
          <w:color w:val="000000"/>
          <w:sz w:val="32"/>
          <w:szCs w:val="32"/>
          <w:lang w:val="en-US"/>
        </w:rPr>
        <w:t xml:space="preserve"> using observable body-tilt variables, including shoulder tilt (</w:t>
      </w:r>
      <w:r w:rsidR="000417F2" w:rsidRPr="00AB0028">
        <w:rPr>
          <w:rFonts w:ascii="TH SarabunPSK" w:eastAsia="TH Sarabun PSK" w:hAnsi="TH SarabunPSK" w:cs="TH SarabunPSK"/>
          <w:noProof/>
          <w:color w:val="000000"/>
          <w:sz w:val="32"/>
          <w:szCs w:val="32"/>
          <w:lang w:val="en-US"/>
        </w:rPr>
        <w:t xml:space="preserve">   </w:t>
      </w:r>
      <w:r w:rsidR="00511ACC" w:rsidRPr="00AB0028">
        <w:rPr>
          <w:rFonts w:ascii="TH SarabunPSK" w:eastAsia="TH Sarabun PSK" w:hAnsi="TH SarabunPSK" w:cs="TH SarabunPSK" w:hint="cs"/>
          <w:noProof/>
          <w:color w:val="000000"/>
          <w:sz w:val="32"/>
          <w:szCs w:val="32"/>
          <w:lang w:val="en-US"/>
        </w:rPr>
        <w:t xml:space="preserve">), waist tilt </w:t>
      </w:r>
      <w:r w:rsidR="000417F2" w:rsidRPr="00AB0028">
        <w:rPr>
          <w:rFonts w:ascii="TH SarabunPSK" w:eastAsia="TH Sarabun PSK" w:hAnsi="TH SarabunPSK" w:cs="TH SarabunPSK"/>
          <w:noProof/>
          <w:color w:val="000000"/>
          <w:sz w:val="32"/>
          <w:szCs w:val="32"/>
        </w:rPr>
        <w:t xml:space="preserve">(  </w:t>
      </w:r>
      <w:r w:rsidR="000417F2" w:rsidRPr="00AB0028">
        <w:rPr>
          <w:rFonts w:ascii="TH SarabunPSK" w:eastAsia="TH Sarabun PSK" w:hAnsi="TH SarabunPSK" w:cs="TH SarabunPSK"/>
          <w:noProof/>
          <w:color w:val="000000"/>
          <w:sz w:val="32"/>
          <w:szCs w:val="32"/>
          <w:vertAlign w:val="subscript"/>
        </w:rPr>
        <w:t xml:space="preserve"> </w:t>
      </w:r>
      <w:r w:rsidR="000417F2" w:rsidRPr="00AB0028">
        <w:rPr>
          <w:rFonts w:ascii="TH SarabunPSK" w:eastAsia="TH Sarabun PSK" w:hAnsi="TH SarabunPSK" w:cs="TH SarabunPSK"/>
          <w:noProof/>
          <w:color w:val="000000"/>
          <w:sz w:val="32"/>
          <w:szCs w:val="32"/>
        </w:rPr>
        <w:t>)</w:t>
      </w:r>
      <w:r w:rsidR="00511ACC" w:rsidRPr="00AB0028">
        <w:rPr>
          <w:rFonts w:ascii="TH SarabunPSK" w:eastAsia="TH Sarabun PSK" w:hAnsi="TH SarabunPSK" w:cs="TH SarabunPSK" w:hint="cs"/>
          <w:noProof/>
          <w:color w:val="000000"/>
          <w:sz w:val="32"/>
          <w:szCs w:val="32"/>
          <w:lang w:val="en-US"/>
        </w:rPr>
        <w:t>, and hip tilt (</w:t>
      </w:r>
      <w:r w:rsidR="000417F2" w:rsidRPr="00AB0028">
        <w:rPr>
          <w:rFonts w:ascii="TH SarabunPSK" w:eastAsia="TH Sarabun PSK" w:hAnsi="TH SarabunPSK" w:cs="TH SarabunPSK" w:hint="cs"/>
          <w:noProof/>
          <w:color w:val="000000"/>
          <w:sz w:val="32"/>
          <w:szCs w:val="32"/>
          <w:cs/>
          <w:lang w:val="en-US"/>
        </w:rPr>
        <w:t xml:space="preserve">   </w:t>
      </w:r>
      <w:r w:rsidR="000417F2" w:rsidRPr="00AB0028">
        <w:rPr>
          <w:rFonts w:ascii="TH SarabunPSK" w:eastAsia="TH Sarabun PSK" w:hAnsi="TH SarabunPSK" w:cs="TH SarabunPSK"/>
          <w:noProof/>
          <w:color w:val="000000"/>
          <w:sz w:val="32"/>
          <w:szCs w:val="32"/>
        </w:rPr>
        <w:t xml:space="preserve">) </w:t>
      </w:r>
      <w:r w:rsidR="00511ACC" w:rsidRPr="00AB0028">
        <w:rPr>
          <w:rFonts w:ascii="TH SarabunPSK" w:eastAsia="TH Sarabun PSK" w:hAnsi="TH SarabunPSK" w:cs="TH SarabunPSK" w:hint="cs"/>
          <w:noProof/>
          <w:color w:val="000000"/>
          <w:sz w:val="32"/>
          <w:szCs w:val="32"/>
          <w:lang w:val="en-US"/>
        </w:rPr>
        <w:t>Polynomial Regression was applied to create predictive equations based on the Apex of the spinal curve, and the model was developed in two groups according to the direction of the Apex, yielding the following results.</w:t>
      </w:r>
    </w:p>
    <w:p w14:paraId="2F3AC3AC" w14:textId="77777777" w:rsidR="008B1648" w:rsidRPr="008B1648" w:rsidRDefault="00511ACC" w:rsidP="00615A3E">
      <w:pPr>
        <w:pBdr>
          <w:top w:val="nil"/>
          <w:left w:val="nil"/>
          <w:bottom w:val="nil"/>
          <w:right w:val="nil"/>
          <w:between w:val="nil"/>
        </w:pBdr>
        <w:spacing w:line="240" w:lineRule="auto"/>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hint="cs"/>
          <w:noProof/>
          <w:color w:val="000000"/>
          <w:sz w:val="32"/>
          <w:szCs w:val="32"/>
          <w:lang w:val="en-US"/>
        </w:rPr>
        <w:t>The first regression equation is:</w:t>
      </w:r>
    </w:p>
    <w:p w14:paraId="795D9138" w14:textId="265F4084" w:rsidR="00511ACC" w:rsidRPr="008B1648" w:rsidRDefault="008B1648" w:rsidP="00615A3E">
      <w:pPr>
        <w:pBdr>
          <w:top w:val="nil"/>
          <w:left w:val="nil"/>
          <w:bottom w:val="nil"/>
          <w:right w:val="nil"/>
          <w:between w:val="nil"/>
        </w:pBdr>
        <w:spacing w:line="240" w:lineRule="auto"/>
        <w:rPr>
          <w:rFonts w:ascii="TH SarabunPSK" w:eastAsia="Times New Roman" w:hAnsi="TH SarabunPSK" w:cs="TH SarabunPSK"/>
          <w:color w:val="000000"/>
          <w:sz w:val="17"/>
          <w:szCs w:val="17"/>
          <w:vertAlign w:val="subscript"/>
          <w:lang w:val="en-US"/>
        </w:rPr>
      </w:pPr>
      <m:oMathPara>
        <m:oMathParaPr>
          <m:jc m:val="left"/>
        </m:oMathParaPr>
        <m:oMath>
          <m:r>
            <w:rPr>
              <w:rFonts w:ascii="Cambria Math" w:hAnsi="Cambria Math" w:cs="TH SarabunPSK"/>
              <w:sz w:val="17"/>
              <w:szCs w:val="17"/>
            </w:rPr>
            <m:t>y=13.1445</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r>
            <w:rPr>
              <w:rFonts w:ascii="Cambria Math" w:hAnsi="Cambria Math" w:cs="TH SarabunPSK"/>
              <w:sz w:val="17"/>
              <w:szCs w:val="17"/>
            </w:rPr>
            <m:t>-2.8507</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+14.2826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-1.6406</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1</m:t>
              </m:r>
            </m:sub>
            <m:sup>
              <m:r>
                <w:rPr>
                  <w:rFonts w:ascii="Cambria Math" w:hAnsi="Cambria Math" w:cs="TH SarabunPSK"/>
                  <w:sz w:val="17"/>
                  <w:szCs w:val="17"/>
                </w:rPr>
                <m:t>2</m:t>
              </m:r>
            </m:sup>
          </m:sSubSup>
          <m:r>
            <w:rPr>
              <w:rFonts w:ascii="Cambria Math" w:hAnsi="Cambria Math" w:cs="TH SarabunPSK"/>
              <w:sz w:val="17"/>
              <w:szCs w:val="17"/>
            </w:rPr>
            <m:t>-0.0018</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2</m:t>
              </m:r>
            </m:sub>
            <m:sup>
              <m:r>
                <w:rPr>
                  <w:rFonts w:ascii="Cambria Math" w:hAnsi="Cambria Math" w:cs="TH SarabunPSK"/>
                  <w:sz w:val="17"/>
                  <w:szCs w:val="17"/>
                </w:rPr>
                <m:t>2</m:t>
              </m:r>
            </m:sup>
          </m:sSubSup>
          <m:r>
            <w:rPr>
              <w:rFonts w:ascii="Cambria Math" w:hAnsi="Cambria Math" w:cs="TH SarabunPSK"/>
              <w:sz w:val="17"/>
              <w:szCs w:val="17"/>
            </w:rPr>
            <m:t>-0.5919</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3</m:t>
              </m:r>
            </m:sub>
            <m:sup>
              <m:r>
                <w:rPr>
                  <w:rFonts w:ascii="Cambria Math" w:hAnsi="Cambria Math" w:cs="TH SarabunPSK"/>
                  <w:sz w:val="17"/>
                  <w:szCs w:val="17"/>
                </w:rPr>
                <m:t>2</m:t>
              </m:r>
            </m:sup>
          </m:sSubSup>
          <m:r>
            <w:rPr>
              <w:rFonts w:ascii="Cambria Math" w:hAnsi="Cambria Math" w:cs="TH SarabunPSK"/>
              <w:sz w:val="17"/>
              <w:szCs w:val="17"/>
            </w:rPr>
            <m:t>+1.5023</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-1.4141</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-0.9068</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oMath>
      </m:oMathPara>
    </w:p>
    <w:p w14:paraId="15991585" w14:textId="1EFB0FEB" w:rsidR="00511ACC" w:rsidRPr="00AB0028" w:rsidRDefault="00511ACC" w:rsidP="00615A3E">
      <w:pPr>
        <w:pBdr>
          <w:top w:val="nil"/>
          <w:left w:val="nil"/>
          <w:bottom w:val="nil"/>
          <w:right w:val="nil"/>
          <w:between w:val="nil"/>
        </w:pBdr>
        <w:spacing w:after="0" w:line="240" w:lineRule="auto"/>
        <w:rPr>
          <w:rFonts w:ascii="TH SarabunPSK" w:eastAsia="TH Sarabun PSK" w:hAnsi="TH SarabunPSK" w:cs="TH SarabunPSK"/>
          <w:i/>
          <w:noProof/>
          <w:color w:val="000000"/>
          <w:sz w:val="32"/>
          <w:szCs w:val="32"/>
          <w:lang w:val="en-US"/>
        </w:rPr>
      </w:pPr>
      <w:r w:rsidRPr="00AB0028">
        <w:rPr>
          <w:rFonts w:ascii="TH SarabunPSK" w:eastAsia="TH Sarabun PSK" w:hAnsi="TH SarabunPSK" w:cs="TH SarabunPSK" w:hint="cs"/>
          <w:noProof/>
          <w:color w:val="000000"/>
          <w:sz w:val="32"/>
          <w:szCs w:val="32"/>
          <w:lang w:val="en-US"/>
        </w:rPr>
        <w:t xml:space="preserve">with an accuracy of </w:t>
      </w:r>
      <m:oMath>
        <m:sSup>
          <m:sSupPr>
            <m:ctrlPr>
              <w:rPr>
                <w:rFonts w:ascii="Cambria Math" w:hAnsi="Cambria Math" w:cs="TH SarabunPSK"/>
                <w:spacing w:val="-20"/>
              </w:rPr>
            </m:ctrlPr>
          </m:sSupPr>
          <m:e>
            <m:r>
              <w:rPr>
                <w:rFonts w:ascii="Cambria Math" w:hAnsi="Cambria Math" w:cs="TH SarabunPSK"/>
                <w:spacing w:val="-20"/>
              </w:rPr>
              <m:t>R</m:t>
            </m:r>
          </m:e>
          <m:sup>
            <m:r>
              <w:rPr>
                <w:rFonts w:ascii="Cambria Math" w:hAnsi="Cambria Math" w:cs="TH SarabunPSK"/>
                <w:spacing w:val="-20"/>
              </w:rPr>
              <m:t>2</m:t>
            </m:r>
          </m:sup>
        </m:sSup>
        <m:r>
          <w:rPr>
            <w:rFonts w:ascii="Cambria Math" w:hAnsi="Cambria Math" w:cs="TH SarabunPSK"/>
            <w:spacing w:val="-20"/>
          </w:rPr>
          <m:t>=0.9988</m:t>
        </m:r>
      </m:oMath>
    </w:p>
    <w:p w14:paraId="2CDB52AE" w14:textId="5598B99E" w:rsidR="00511ACC" w:rsidRDefault="00511ACC" w:rsidP="00615A3E">
      <w:pPr>
        <w:pBdr>
          <w:top w:val="nil"/>
          <w:left w:val="nil"/>
          <w:bottom w:val="nil"/>
          <w:right w:val="nil"/>
          <w:between w:val="nil"/>
        </w:pBdr>
        <w:spacing w:line="240" w:lineRule="auto"/>
        <w:rPr>
          <w:rFonts w:ascii="TH SarabunPSK" w:eastAsia="TH Sarabun PSK" w:hAnsi="TH SarabunPSK" w:cs="TH SarabunPSK"/>
          <w:noProof/>
          <w:color w:val="000000"/>
          <w:sz w:val="32"/>
          <w:szCs w:val="32"/>
          <w:vertAlign w:val="subscript"/>
          <w:lang w:val="en-US"/>
        </w:rPr>
      </w:pPr>
      <w:r w:rsidRPr="00AB0028">
        <w:rPr>
          <w:rFonts w:ascii="TH SarabunPSK" w:eastAsia="TH Sarabun PSK" w:hAnsi="TH SarabunPSK" w:cs="TH SarabunPSK" w:hint="cs"/>
          <w:noProof/>
          <w:color w:val="000000"/>
          <w:sz w:val="32"/>
          <w:szCs w:val="32"/>
          <w:lang w:val="en-US"/>
        </w:rPr>
        <w:t>The second regression equation is:</w:t>
      </w:r>
      <w:r w:rsidRPr="00AB0028">
        <w:rPr>
          <w:rFonts w:ascii="TH SarabunPSK" w:eastAsia="Times New Roman" w:hAnsi="TH SarabunPSK" w:cs="TH SarabunPSK" w:hint="cs"/>
          <w:color w:val="000000"/>
          <w:vertAlign w:val="subscript"/>
          <w:lang w:val="en-US"/>
        </w:rPr>
        <w:t xml:space="preserve"> </w:t>
      </w:r>
    </w:p>
    <w:p w14:paraId="5F67A764" w14:textId="0D56A192" w:rsidR="008B1648" w:rsidRPr="008B1648" w:rsidRDefault="008B1648" w:rsidP="00615A3E">
      <w:pPr>
        <w:pBdr>
          <w:top w:val="nil"/>
          <w:left w:val="nil"/>
          <w:bottom w:val="nil"/>
          <w:right w:val="nil"/>
          <w:between w:val="nil"/>
        </w:pBdr>
        <w:spacing w:line="240" w:lineRule="auto"/>
        <w:rPr>
          <w:rFonts w:ascii="TH SarabunPSK" w:eastAsia="TH Sarabun PSK" w:hAnsi="TH SarabunPSK" w:cs="TH SarabunPSK"/>
          <w:noProof/>
          <w:color w:val="000000"/>
          <w:sz w:val="17"/>
          <w:szCs w:val="17"/>
          <w:lang w:val="en-US"/>
        </w:rPr>
      </w:pPr>
      <m:oMathPara>
        <m:oMathParaPr>
          <m:jc m:val="left"/>
        </m:oMathParaPr>
        <m:oMath>
          <m:r>
            <w:rPr>
              <w:rFonts w:ascii="Cambria Math" w:hAnsi="Cambria Math" w:cs="TH SarabunPSK"/>
              <w:sz w:val="17"/>
              <w:szCs w:val="17"/>
            </w:rPr>
            <m:t>y=15.1265</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r>
            <w:rPr>
              <w:rFonts w:ascii="Cambria Math" w:hAnsi="Cambria Math" w:cs="TH SarabunPSK"/>
              <w:sz w:val="17"/>
              <w:szCs w:val="17"/>
            </w:rPr>
            <m:t>+2.4006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+5.0196</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-1.3531</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1</m:t>
              </m:r>
            </m:sub>
            <m:sup>
              <m:r>
                <w:rPr>
                  <w:rFonts w:ascii="Cambria Math" w:hAnsi="Cambria Math" w:cs="TH SarabunPSK"/>
                  <w:sz w:val="17"/>
                  <w:szCs w:val="17"/>
                </w:rPr>
                <m:t>2</m:t>
              </m:r>
            </m:sup>
          </m:sSubSup>
          <m:r>
            <w:rPr>
              <w:rFonts w:ascii="Cambria Math" w:hAnsi="Cambria Math" w:cs="TH SarabunPSK"/>
              <w:sz w:val="17"/>
              <w:szCs w:val="17"/>
            </w:rPr>
            <m:t>+0.0039</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2</m:t>
              </m:r>
            </m:sub>
            <m:sup>
              <m:r>
                <w:rPr>
                  <w:rFonts w:ascii="Cambria Math" w:hAnsi="Cambria Math" w:cs="TH SarabunPSK"/>
                  <w:sz w:val="17"/>
                  <w:szCs w:val="17"/>
                </w:rPr>
                <m:t>2</m:t>
              </m:r>
            </m:sup>
          </m:sSubSup>
          <m:r>
            <w:rPr>
              <w:rFonts w:ascii="Cambria Math" w:hAnsi="Cambria Math" w:cs="TH SarabunPSK"/>
              <w:sz w:val="17"/>
              <w:szCs w:val="17"/>
            </w:rPr>
            <m:t>-0.9461</m:t>
          </m:r>
          <m:sSubSup>
            <m:sSubSupPr>
              <m:ctrlPr>
                <w:rPr>
                  <w:rFonts w:ascii="Cambria Math" w:hAnsi="Cambria Math" w:cs="TH SarabunPSK"/>
                  <w:sz w:val="17"/>
                  <w:szCs w:val="17"/>
                </w:rPr>
              </m:ctrlPr>
            </m:sSubSupPr>
            <m:e>
              <m:r>
                <w:rPr>
                  <w:rFonts w:ascii="Cambria Math" w:hAnsi="Cambria Math" w:cs="TH SarabunPSK"/>
                  <w:sz w:val="17"/>
                  <w:szCs w:val="17"/>
                </w:rPr>
                <m:t>x</m:t>
              </m:r>
            </m:e>
            <m:sub>
              <m:r>
                <w:rPr>
                  <w:rFonts w:ascii="Cambria Math" w:hAnsi="Cambria Math" w:cs="TH SarabunPSK"/>
                  <w:sz w:val="17"/>
                  <w:szCs w:val="17"/>
                </w:rPr>
                <m:t>3</m:t>
              </m:r>
            </m:sub>
            <m:sup>
              <m:r>
                <w:rPr>
                  <w:rFonts w:ascii="Cambria Math" w:hAnsi="Cambria Math" w:cs="TH SarabunPSK"/>
                  <w:sz w:val="17"/>
                  <w:szCs w:val="17"/>
                </w:rPr>
                <m:t>2</m:t>
              </m:r>
            </m:sup>
          </m:sSubSup>
          <m:r>
            <w:rPr>
              <w:rFonts w:ascii="Cambria Math" w:hAnsi="Cambria Math" w:cs="TH SarabunPSK"/>
              <w:sz w:val="17"/>
              <w:szCs w:val="17"/>
            </w:rPr>
            <m:t>-0.3011</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r>
            <w:rPr>
              <w:rFonts w:ascii="Cambria Math" w:hAnsi="Cambria Math" w:cs="TH SarabunPSK"/>
              <w:sz w:val="17"/>
              <w:szCs w:val="17"/>
            </w:rPr>
            <m:t>+1.2812</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1</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r>
            <w:rPr>
              <w:rFonts w:ascii="Cambria Math" w:hAnsi="Cambria Math" w:cs="TH SarabunPSK"/>
              <w:sz w:val="17"/>
              <w:szCs w:val="17"/>
            </w:rPr>
            <m:t>-0.0732</m:t>
          </m:r>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2</m:t>
              </m:r>
            </m:sub>
          </m:sSub>
          <m:sSub>
            <m:sSubPr>
              <m:ctrlPr>
                <w:rPr>
                  <w:rFonts w:ascii="Cambria Math" w:hAnsi="Cambria Math" w:cs="TH SarabunPSK"/>
                  <w:sz w:val="17"/>
                  <w:szCs w:val="17"/>
                </w:rPr>
              </m:ctrlPr>
            </m:sSubPr>
            <m:e>
              <m:r>
                <w:rPr>
                  <w:rFonts w:ascii="Cambria Math" w:hAnsi="Cambria Math" w:cs="TH SarabunPSK"/>
                  <w:sz w:val="17"/>
                  <w:szCs w:val="17"/>
                </w:rPr>
                <m:t>x</m:t>
              </m:r>
            </m:e>
            <m:sub>
              <m:r>
                <w:rPr>
                  <w:rFonts w:ascii="Cambria Math" w:hAnsi="Cambria Math" w:cs="TH SarabunPSK"/>
                  <w:sz w:val="17"/>
                  <w:szCs w:val="17"/>
                </w:rPr>
                <m:t>3</m:t>
              </m:r>
            </m:sub>
          </m:sSub>
        </m:oMath>
      </m:oMathPara>
    </w:p>
    <w:p w14:paraId="74FF9BFF" w14:textId="4083BB70" w:rsidR="00511ACC" w:rsidRPr="00AB0028" w:rsidRDefault="00511ACC" w:rsidP="00615A3E">
      <w:pPr>
        <w:pBdr>
          <w:top w:val="nil"/>
          <w:left w:val="nil"/>
          <w:bottom w:val="nil"/>
          <w:right w:val="nil"/>
          <w:between w:val="nil"/>
        </w:pBdr>
        <w:spacing w:after="0" w:line="240" w:lineRule="auto"/>
        <w:rPr>
          <w:rFonts w:ascii="TH SarabunPSK" w:eastAsia="TH Sarabun PSK" w:hAnsi="TH SarabunPSK" w:cs="TH SarabunPSK"/>
          <w:i/>
          <w:noProof/>
          <w:color w:val="000000"/>
          <w:sz w:val="32"/>
          <w:szCs w:val="32"/>
          <w:lang w:val="en-US"/>
        </w:rPr>
      </w:pPr>
      <w:r w:rsidRPr="00AB0028">
        <w:rPr>
          <w:rFonts w:ascii="TH SarabunPSK" w:eastAsia="TH Sarabun PSK" w:hAnsi="TH SarabunPSK" w:cs="TH SarabunPSK" w:hint="cs"/>
          <w:noProof/>
          <w:color w:val="000000"/>
          <w:sz w:val="32"/>
          <w:szCs w:val="32"/>
          <w:lang w:val="en-US"/>
        </w:rPr>
        <w:t>with an accuracy of</w:t>
      </w:r>
      <m:oMath>
        <m:r>
          <w:rPr>
            <w:rFonts w:ascii="Cambria Math" w:eastAsia="TH Sarabun PSK" w:hAnsi="Cambria Math" w:cs="TH SarabunPSK"/>
            <w:noProof/>
            <w:color w:val="000000"/>
            <w:sz w:val="32"/>
            <w:szCs w:val="32"/>
            <w:lang w:val="en-US"/>
          </w:rPr>
          <m:t xml:space="preserve"> </m:t>
        </m:r>
        <m:sSup>
          <m:sSupPr>
            <m:ctrlPr>
              <w:rPr>
                <w:rFonts w:ascii="Cambria Math" w:hAnsi="Cambria Math" w:cs="TH SarabunPSK"/>
                <w:spacing w:val="-20"/>
              </w:rPr>
            </m:ctrlPr>
          </m:sSupPr>
          <m:e>
            <m:r>
              <w:rPr>
                <w:rFonts w:ascii="Cambria Math" w:hAnsi="Cambria Math" w:cs="TH SarabunPSK"/>
                <w:spacing w:val="-20"/>
              </w:rPr>
              <m:t>R</m:t>
            </m:r>
          </m:e>
          <m:sup>
            <m:r>
              <w:rPr>
                <w:rFonts w:ascii="Cambria Math" w:hAnsi="Cambria Math" w:cs="TH SarabunPSK"/>
                <w:spacing w:val="-20"/>
              </w:rPr>
              <m:t>2</m:t>
            </m:r>
          </m:sup>
        </m:sSup>
        <m:r>
          <w:rPr>
            <w:rFonts w:ascii="Cambria Math" w:hAnsi="Cambria Math" w:cs="TH SarabunPSK"/>
            <w:spacing w:val="-20"/>
          </w:rPr>
          <m:t>=0.9966</m:t>
        </m:r>
      </m:oMath>
    </w:p>
    <w:p w14:paraId="59BE2E55" w14:textId="77777777" w:rsidR="00AB0028" w:rsidRPr="00AB0028" w:rsidRDefault="00511ACC" w:rsidP="00615A3E">
      <w:pPr>
        <w:pBdr>
          <w:top w:val="nil"/>
          <w:left w:val="nil"/>
          <w:bottom w:val="nil"/>
          <w:right w:val="nil"/>
          <w:between w:val="nil"/>
        </w:pBdr>
        <w:spacing w:after="0" w:line="240" w:lineRule="auto"/>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hint="cs"/>
          <w:noProof/>
          <w:color w:val="000000"/>
          <w:sz w:val="32"/>
          <w:szCs w:val="32"/>
          <w:lang w:val="en-US"/>
        </w:rPr>
        <w:t>The model evaluation showed an average prediction error ranging from 4.26% to 4.66%, which is acceptable for preliminary use. The high determination coefficients</w:t>
      </w:r>
    </w:p>
    <w:p w14:paraId="0D108E16" w14:textId="4AB64C6C" w:rsidR="00511ACC" w:rsidRPr="00AB0028" w:rsidRDefault="00511ACC" w:rsidP="00615A3E">
      <w:pPr>
        <w:pBdr>
          <w:top w:val="nil"/>
          <w:left w:val="nil"/>
          <w:bottom w:val="nil"/>
          <w:right w:val="nil"/>
          <w:between w:val="nil"/>
        </w:pBdr>
        <w:spacing w:after="0" w:line="240" w:lineRule="auto"/>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hint="cs"/>
          <w:noProof/>
          <w:color w:val="000000"/>
          <w:sz w:val="32"/>
          <w:szCs w:val="32"/>
          <w:lang w:val="en-US"/>
        </w:rPr>
        <w:t>(</w:t>
      </w:r>
      <m:oMath>
        <m:sSup>
          <m:sSupPr>
            <m:ctrlPr>
              <w:rPr>
                <w:rFonts w:ascii="Cambria Math" w:hAnsi="Cambria Math" w:cs="TH SarabunPSK"/>
                <w:spacing w:val="-20"/>
              </w:rPr>
            </m:ctrlPr>
          </m:sSupPr>
          <m:e>
            <m:r>
              <w:rPr>
                <w:rFonts w:ascii="Cambria Math" w:hAnsi="Cambria Math" w:cs="TH SarabunPSK"/>
                <w:spacing w:val="-20"/>
              </w:rPr>
              <m:t>R</m:t>
            </m:r>
          </m:e>
          <m:sup>
            <m:r>
              <w:rPr>
                <w:rFonts w:ascii="Cambria Math" w:hAnsi="Cambria Math" w:cs="TH SarabunPSK"/>
                <w:spacing w:val="-20"/>
              </w:rPr>
              <m:t>2</m:t>
            </m:r>
          </m:sup>
        </m:sSup>
        <m:r>
          <w:rPr>
            <w:rFonts w:ascii="Cambria Math" w:hAnsi="Cambria Math" w:cs="TH SarabunPSK"/>
            <w:spacing w:val="-20"/>
          </w:rPr>
          <m:t xml:space="preserve">≈0.9966-0.9988 </m:t>
        </m:r>
      </m:oMath>
      <w:r w:rsidR="00AB0028" w:rsidRPr="00AB0028">
        <w:rPr>
          <w:rFonts w:ascii="TH SarabunPSK" w:eastAsia="TH Sarabun PSK" w:hAnsi="TH SarabunPSK" w:cs="TH SarabunPSK"/>
          <w:noProof/>
          <w:color w:val="000000"/>
          <w:sz w:val="32"/>
          <w:szCs w:val="32"/>
          <w:lang w:val="en-US"/>
        </w:rPr>
        <w:t xml:space="preserve">) </w:t>
      </w:r>
      <w:r w:rsidRPr="00AB0028">
        <w:rPr>
          <w:rFonts w:ascii="TH SarabunPSK" w:eastAsia="TH Sarabun PSK" w:hAnsi="TH SarabunPSK" w:cs="TH SarabunPSK" w:hint="cs"/>
          <w:noProof/>
          <w:color w:val="000000"/>
          <w:sz w:val="32"/>
          <w:szCs w:val="32"/>
          <w:lang w:val="en-US"/>
        </w:rPr>
        <w:t xml:space="preserve">confirm that body-tilt variables can effectively support scoliosis screening without radiation. The equations were integrated into a prototype </w:t>
      </w:r>
      <w:r w:rsidR="009367D4">
        <w:rPr>
          <w:rFonts w:ascii="TH SarabunPSK" w:eastAsia="TH Sarabun PSK" w:hAnsi="TH SarabunPSK" w:cs="TH SarabunPSK"/>
          <w:noProof/>
          <w:color w:val="000000"/>
          <w:sz w:val="32"/>
          <w:szCs w:val="32"/>
          <w:lang w:val="en-US"/>
        </w:rPr>
        <w:t>radiation-free Cobb angle assessment device</w:t>
      </w:r>
      <w:r w:rsidRPr="00AB0028">
        <w:rPr>
          <w:rFonts w:ascii="TH SarabunPSK" w:eastAsia="TH Sarabun PSK" w:hAnsi="TH SarabunPSK" w:cs="TH SarabunPSK" w:hint="cs"/>
          <w:noProof/>
          <w:color w:val="000000"/>
          <w:sz w:val="32"/>
          <w:szCs w:val="32"/>
          <w:lang w:val="en-US"/>
        </w:rPr>
        <w:t xml:space="preserve"> that calculates spinal curvature from external body-tilt data. This system simplifies screening, reduces radiation exposure, and shows strong potential for practical use in hospitals and community healthcare setting</w:t>
      </w:r>
      <w:r w:rsidR="009367D4">
        <w:rPr>
          <w:rFonts w:ascii="TH SarabunPSK" w:eastAsia="TH Sarabun PSK" w:hAnsi="TH SarabunPSK" w:cs="TH SarabunPSK"/>
          <w:noProof/>
          <w:color w:val="000000"/>
          <w:sz w:val="32"/>
          <w:szCs w:val="32"/>
          <w:lang w:val="en-US"/>
        </w:rPr>
        <w:t>s</w:t>
      </w:r>
      <w:r w:rsidRPr="00AB0028">
        <w:rPr>
          <w:rFonts w:ascii="TH SarabunPSK" w:eastAsia="TH Sarabun PSK" w:hAnsi="TH SarabunPSK" w:cs="TH SarabunPSK" w:hint="cs"/>
          <w:noProof/>
          <w:color w:val="000000"/>
          <w:sz w:val="32"/>
          <w:szCs w:val="32"/>
          <w:lang w:val="en-US"/>
        </w:rPr>
        <w:t>.</w:t>
      </w:r>
    </w:p>
    <w:p w14:paraId="00000018" w14:textId="303CC3AE" w:rsidR="00090BD3" w:rsidRPr="00AB0028" w:rsidRDefault="00511ACC" w:rsidP="00615A3E">
      <w:pPr>
        <w:pBdr>
          <w:top w:val="nil"/>
          <w:left w:val="nil"/>
          <w:bottom w:val="nil"/>
          <w:right w:val="nil"/>
          <w:between w:val="nil"/>
        </w:pBdr>
        <w:spacing w:after="0" w:line="240" w:lineRule="auto"/>
        <w:rPr>
          <w:rFonts w:ascii="TH SarabunPSK" w:eastAsia="TH Sarabun PSK" w:hAnsi="TH SarabunPSK" w:cs="TH SarabunPSK"/>
          <w:noProof/>
          <w:color w:val="000000"/>
          <w:sz w:val="32"/>
          <w:szCs w:val="32"/>
          <w:lang w:val="en-US"/>
        </w:rPr>
      </w:pPr>
      <w:r w:rsidRPr="00AB0028">
        <w:rPr>
          <w:rFonts w:ascii="TH SarabunPSK" w:eastAsia="TH Sarabun PSK" w:hAnsi="TH SarabunPSK" w:cs="TH SarabunPSK" w:hint="cs"/>
          <w:b/>
          <w:bCs/>
          <w:noProof/>
          <w:color w:val="000000"/>
          <w:sz w:val="32"/>
          <w:szCs w:val="32"/>
          <w:lang w:val="en-US"/>
        </w:rPr>
        <w:t>Keywords</w:t>
      </w:r>
      <w:r w:rsidRPr="00AB0028">
        <w:rPr>
          <w:rFonts w:ascii="TH SarabunPSK" w:eastAsia="TH Sarabun PSK" w:hAnsi="TH SarabunPSK" w:cs="TH SarabunPSK" w:hint="cs"/>
          <w:noProof/>
          <w:color w:val="000000"/>
          <w:sz w:val="32"/>
          <w:szCs w:val="32"/>
          <w:lang w:val="en-US"/>
        </w:rPr>
        <w:t>: Scoliosis, Cobb angle, Polynomial regression, Body-tilt equation, Non-radiographic assessment</w:t>
      </w:r>
    </w:p>
    <w:sectPr w:rsidR="00090BD3" w:rsidRPr="00AB002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78DD8" w14:textId="77777777" w:rsidR="00781201" w:rsidRDefault="00781201">
      <w:pPr>
        <w:spacing w:after="0" w:line="240" w:lineRule="auto"/>
      </w:pPr>
      <w:r>
        <w:separator/>
      </w:r>
    </w:p>
  </w:endnote>
  <w:endnote w:type="continuationSeparator" w:id="0">
    <w:p w14:paraId="2F983F42" w14:textId="77777777" w:rsidR="00781201" w:rsidRDefault="0078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D1988" w14:textId="77777777" w:rsidR="00781201" w:rsidRDefault="00781201">
      <w:pPr>
        <w:spacing w:after="0" w:line="240" w:lineRule="auto"/>
      </w:pPr>
      <w:r>
        <w:separator/>
      </w:r>
    </w:p>
  </w:footnote>
  <w:footnote w:type="continuationSeparator" w:id="0">
    <w:p w14:paraId="0EC639CA" w14:textId="77777777" w:rsidR="00781201" w:rsidRDefault="0078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160B6"/>
    <w:rsid w:val="000417F2"/>
    <w:rsid w:val="00074EED"/>
    <w:rsid w:val="000852E3"/>
    <w:rsid w:val="00090BD3"/>
    <w:rsid w:val="00160C21"/>
    <w:rsid w:val="00196F3A"/>
    <w:rsid w:val="001C4197"/>
    <w:rsid w:val="002362D0"/>
    <w:rsid w:val="002A71E2"/>
    <w:rsid w:val="0048372D"/>
    <w:rsid w:val="004C2435"/>
    <w:rsid w:val="00511ACC"/>
    <w:rsid w:val="005D4CC6"/>
    <w:rsid w:val="005E0658"/>
    <w:rsid w:val="00615A3E"/>
    <w:rsid w:val="00621213"/>
    <w:rsid w:val="006932F6"/>
    <w:rsid w:val="00781201"/>
    <w:rsid w:val="0086094A"/>
    <w:rsid w:val="008B1648"/>
    <w:rsid w:val="009367D4"/>
    <w:rsid w:val="0095431C"/>
    <w:rsid w:val="00962C47"/>
    <w:rsid w:val="009D6F84"/>
    <w:rsid w:val="00AB0028"/>
    <w:rsid w:val="00AE07D5"/>
    <w:rsid w:val="00B27FAE"/>
    <w:rsid w:val="00B57C95"/>
    <w:rsid w:val="00BD4C9D"/>
    <w:rsid w:val="00D23736"/>
    <w:rsid w:val="00EC0167"/>
    <w:rsid w:val="00EC7F01"/>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511ACC"/>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Thanapat JIRAPRATIP</cp:lastModifiedBy>
  <cp:revision>2</cp:revision>
  <cp:lastPrinted>2026-07-15T07:32:00Z</cp:lastPrinted>
  <dcterms:created xsi:type="dcterms:W3CDTF">2026-08-07T09:56:00Z</dcterms:created>
  <dcterms:modified xsi:type="dcterms:W3CDTF">2026-08-07T09:56:00Z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df2030ea-b3f6-420c-8210-8bb0e26f393b</vt:lpwstr>
  </property>
</Properties>
</file>