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32"/>
          <w:szCs w:val="32"/>
          <w:rtl w:val="0"/>
        </w:rPr>
        <w:t xml:space="preserve">การเตือนจุดสิ้นอายุการใช้งานของแบตเตอรี่ลิเธียมไอออนล่วงหน้า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32"/>
          <w:szCs w:val="32"/>
          <w:rtl w:val="0"/>
        </w:rPr>
        <w:t xml:space="preserve">ด้วยสเปกโทรสโกปีอิมพีแดนซ์เชิงเคมีไฟฟ้า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32"/>
          <w:szCs w:val="32"/>
          <w:rtl w:val="0"/>
        </w:rPr>
        <w:t xml:space="preserve">Early Warning of Lithium-ion Battery End-of-Life Using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32"/>
          <w:szCs w:val="32"/>
          <w:rtl w:val="0"/>
        </w:rPr>
        <w:t xml:space="preserve">Electrochemical Impedance Spectroscopy (EIS)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แวฟุรกอน เจ๊ะหมัด* และ มูฮัมหมัดฟาดิล สามัญ*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อาจารย์ที่ปรึกษา: ศิรชัช จันทร์ทองพูน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4"/>
          <w:szCs w:val="24"/>
          <w:rtl w:val="0"/>
        </w:rPr>
        <w:t xml:space="preserve">โรงเรียนวิทยาศาสตร์จุฬาภรณราชวิทยาลัย สตูล อ.เมืองสตูล จ.สตูล 91140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4"/>
          <w:szCs w:val="24"/>
          <w:rtl w:val="0"/>
        </w:rPr>
        <w:t xml:space="preserve">อีเมล: korn05331@gmail.com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spacing w:after="4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32"/>
          <w:szCs w:val="32"/>
          <w:rtl w:val="0"/>
        </w:rPr>
        <w:t xml:space="preserve">บทคัดย่อ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แบตเตอรี่ลิเธียมไอออนเสื่อมสภาพลงตามการใช้งานจนถึงจุดสิ้นอายุการใช้งาน (End-of-Life; EOL) ซึ่งการตรวจพบเมื่อความจุลดลงถึงเกณฑ์แล้วมักสายเกินไปต่อการวางแผนบำรุงรักษา งานวิจัยนี้จึงมีวัตถุประสงค์เพื่อศึกษาการใช้ค่าอิมพีแดนซ์จากการวัดสเปกโทรสโกปีอิมพีแดนซ์เชิงเคมีไฟฟ้า (EIS) ได้แก่ ความต้านทานอิเล็กโทรไลต์ (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) และความต้านทานการถ่ายโอนประจุ (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) เป็นสัญญาณเตือนล่วงหน้าก่อนถึง EOL วิธีดำเนินการวิเคราะห์ข้อมูลแบตเตอรี่รวม 46 เซลล์จากสามฐานข้อมูลอิสระ (NASA, Oxford และ CALCE) ครอบคลุมสามชนิดสารเคมีและสี่ระดับอุณหภูมิ โดยกำหนดค่าฐานจากค่ามัธยฐาน 10 รอบแรก แล้ววัดระยะเวลาเตือนล่วงหน้าเมื่อ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หรือ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เพิ่มขึ้นเกินเกณฑ์ พร้อมตรวจสอบความถูกต้องแบบ Leave-One-Out ผลการศึกษาพบว่าเมื่อค่า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หรือ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เพิ่มขึ้นเกินร้อยละ 10 จากค่าฐาน สามารถเตือนล่วงหน้าได้ 44–62 รอบก่อนถึง EOL และเมื่อเปรียบเทียบกับความต้านทานภายในแบบกระแสตรง พบว่า EIS ตรวจจับการเสื่อมสภาพช่วงต้นได้ดีกว่าอย่างชัดเจน สรุปได้ว่า EIS เป็นตัวชี้วัดเตือนล่วงหน้าที่เชื่อถือได้และประยุกต์ใช้ข้ามชนิดแบตเตอรี่ได้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before="0" w:line="240" w:lineRule="auto"/>
        <w:jc w:val="both"/>
        <w:rPr/>
        <w:sectPr>
          <w:headerReference r:id="rId7" w:type="default"/>
          <w:footerReference r:id="rId8" w:type="default"/>
          <w:footerReference r:id="rId9" w:type="even"/>
          <w:pgSz w:h="16838" w:w="11906" w:orient="portrait"/>
          <w:pgMar w:bottom="1440" w:top="1800" w:left="1800" w:right="1440" w:header="720" w:footer="720"/>
          <w:pgNumType w:start="1"/>
        </w:sectPr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คำสำคัญ: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แบตเตอรี่ลิเธียมไอออน, สเปกโทรสโกปีอิมพีแดนซ์เชิงเคมีไฟฟ้า, การพยากรณ์อายุการใช้งาน, จุดสิ้นอายุการใช้งาน, ความต้านทานการถ่ายโอนประจุ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spacing w:after="40" w:before="12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บทนำ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แบตเตอรี่ลิเธียมไอออน (lithium-ion battery) เป็นแหล่งกักเก็บพลังงานหลักในอุปกรณ์อิเล็กทรอนิกส์ ยานยนต์ไฟฟ้า และระบบกักเก็บพลังงาน เนื่องจากมีความหนาแน่นพลังงานสูง อย่างไรก็ตาม เมื่อผ่านการประจุและคายประจุซ้ำ ๆ โครงสร้างภายในจะเสื่อมสภาพจากกลไกต่าง ๆ เช่น การก่อตัวของชั้นฟิล์ม SEI (solid electrolyte interphase) การสูญเสียลิเธียมที่ใช้งานได้ และการเสื่อมของขั้วไฟฟ้า ส่งผลให้ความจุลดลงจนถึงจุดสิ้นอายุการใช้งาน (EOL) ซึ่งโดยทั่วไปกำหนดว่าความจุเหลือร้อยละ 70–80 ของค่าเริ่มต้น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ปัญหาสำคัญคือ การประเมินสภาพด้วยการวัดความจุโดยตรงจะทราบว่าแบตเตอรี่ถึง EOL ก็ต่อเมื่อเหตุการณ์เกิดขึ้นแล้ว ซึ่งสายเกินไปต่อการวางแผนเปลี่ยนหรือบำรุงรักษา โดยเฉพาะในระบบที่ต้องการความปลอดภัยและความต่อเนื่องสูง จึงจำเป็นต้องมีตัวชี้วัดที่สามารถเตือนล่วงหน้าก่อนที่แบตเตอรี่จะเสื่อมถึงเกณฑ์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สเปกโทรสโกปีอิมพีแดนซ์เชิงเคมีไฟฟ้า (EIS) เป็นเทคนิคที่ป้อนสัญญาณไฟฟ้ากระแสสลับขนาดเล็กที่หลายความถี่แล้ววัดค่าอิมพีแดนซ์ตอบสนอง ทำให้แยกองค์ประกอบความต้านทานภายในได้ โดยค่า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คือความต้านทานอิเล็กโทรไลต์หรือความต้านทานเชิงโอห์ม (ohmic resistance) และค่า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คือความต้านทานการถ่ายโอนประจุ (charge-transfer resistance) ที่สัมพันธ์กับปฏิกิริยาไฟฟ้าเคมีบริเวณผิวขั้วไฟฟ้า เมื่อแบตเตอรี่เสื่อมสภาพ ทั้งสองค่าจะเพิ่มขึ้นก่อนที่ความจุจะตกถึงเกณฑ์ EOL จึงมีศักยภาพเป็นสัญญาณเตือนล่วงหน้า ดังลักษณะการเสื่อมของความจุในรูปที่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spacing w:after="40" w:before="8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1980000" cy="110817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108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รูปที่ 1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เส้นการเสื่อมของความจุแบตเตอรี่ NASA แต่ละเส้นคือหนึ่งเซลล์ เครื่องหมาย × คือจุด EOL ที่ 1.4 แอมแปร์-ชั่วโมง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งานวิจัยนี้มีวัตถุประสงค์เพื่อ (1) พิสูจน์ว่าค่า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เตือน EOL ล่วงหน้าได้กี่รอบ (2) ตรวจสอบว่าวิธีการใช้ได้ข้ามชนิดสารเคมี ห้องปฏิบัติการ และอุณหภูมิ และ (3) เปรียบเทียบประสิทธิภาพของ EIS กับความต้านทานภายในแบบกระแสตรง (DC internal resistance)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spacing w:after="40" w:before="12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วิธีการดำเนินงาน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spacing w:after="20" w:before="8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แหล่งข้อมูลและการคัดเลือกเซลล์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" w:before="0" w:line="240" w:lineRule="auto"/>
        <w:ind w:firstLine="567"/>
        <w:jc w:val="both"/>
        <w:rPr/>
        <w:sectPr>
          <w:type w:val="continuous"/>
          <w:pgSz w:h="16838" w:w="11906" w:orient="portrait"/>
          <w:pgMar w:bottom="1440" w:top="1800" w:left="1800" w:right="1440" w:header="720" w:footer="720"/>
          <w:pgNumType w:start="1"/>
          <w:cols w:equalWidth="0" w:num="2">
            <w:col w:space="425" w:w="4120.5"/>
            <w:col w:space="0" w:w="4120.5"/>
          </w:cols>
        </w:sect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งานวิจัยรวบรวมข้อมูลแบตเตอรี่ 46 เซลล์จากสามฐานข้อมูลสาธารณะที่เป็นอิสระต่อกัน ครอบคลุมสามชนิดสารเคมีและอุณหภูมิทดสอบ 4–44 องศาเซลเซียส ดังสรุปในตารางที่ 1 โดยฐานข้อมูล NASA เป็นชุดเดียวที่บันทึกค่า EIS ต่อรอบ (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) การคัดเลือกเซลล์สำหรับวิเคราะห์การเตือนใช้เฉพาะเซลล์ที่มีข้อมูล EIS ครบและเสื่อมถึงจุด EOL ส่วน Oxford และ CALCE ใช้สนับสนุนด้านความจุและความต้านทานภายในแบบกระแสตรงตามลำดับ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spacing w:after="40" w:before="12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ตารางที่ 1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สรุปชุดข้อมูลแบตเตอรี่ที่ใช้ในงานวิจัย</w:t>
      </w:r>
      <w:r w:rsidDel="00000000" w:rsidR="00000000" w:rsidRPr="00000000">
        <w:rPr>
          <w:rtl w:val="0"/>
        </w:rPr>
      </w:r>
    </w:p>
    <w:tbl>
      <w:tblPr>
        <w:tblStyle w:val="Table1"/>
        <w:tblW w:w="8664.0" w:type="dxa"/>
        <w:jc w:val="center"/>
        <w:tblLayout w:type="fixed"/>
        <w:tblLook w:val="0400"/>
      </w:tblPr>
      <w:tblGrid>
        <w:gridCol w:w="1444"/>
        <w:gridCol w:w="1444"/>
        <w:gridCol w:w="1444"/>
        <w:gridCol w:w="1444"/>
        <w:gridCol w:w="1444"/>
        <w:gridCol w:w="1444"/>
        <w:tblGridChange w:id="0">
          <w:tblGrid>
            <w:gridCol w:w="1444"/>
            <w:gridCol w:w="1444"/>
            <w:gridCol w:w="1444"/>
            <w:gridCol w:w="1444"/>
            <w:gridCol w:w="1444"/>
            <w:gridCol w:w="1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ฐานข้อมูล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ชนิดสารเคมี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เซลล์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อุณหภูมิ (°C)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มี 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บทบาท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NASA PCoE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LCO 18650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 / 24 / 43 / 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มี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แกนหลัก EIS และอุณหภูมิ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Oxford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LCO pouch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ไม่มี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ยืนยันความจุข้าม chemistry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CALCE CS2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LCO prismatic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ไม่มี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เทียบความต้านทานกระแสตรง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0" w:before="0" w:lineRule="auto"/>
        <w:rPr>
          <w:sz w:val="4"/>
          <w:szCs w:val="4"/>
        </w:rPr>
        <w:sectPr>
          <w:type w:val="continuous"/>
          <w:pgSz w:h="16838" w:w="11906" w:orient="portrait"/>
          <w:pgMar w:bottom="1440" w:top="1800" w:left="180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spacing w:after="20" w:before="8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การเตรียมข้อมูลและนิยามจุดสิ้นอายุ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สกัดค่าความจุต่อรอบจากการคายประจุ และจับคู่ค่า EIS ให้ตรงกับรอบการคายประจุที่ใกล้ที่สุด กำหนดนิยาม EOL สองแบบ ได้แก่ NASA ใช้เกณฑ์ความจุต่ำกว่า 1.4 แอมแปร์-ชั่วโมง (ร้อยละ 70 ของพิกัด 2.0 แอมแปร์-ชั่วโมง) ส่วน Oxford และ CALCE ใช้เกณฑ์ร้อยละ 80 ของความจุเริ่มต้น เนื่องจากมีความจุพิกัดต่างกัน ทั้งนี้ได้ปรับข้อมูลความจุที่ผันผวนให้เรียบด้วยค่ามัธยฐานเคลื่อนที่ก่อนหาจุด EOL เพื่อป้องกันการตรวจพบผิดพลาดจากจุดกระโดดเดี่ยว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spacing w:after="20" w:before="8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การกำหนดค่าฐาน เกณฑ์ และระยะเวลาเตือน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กำหนดค่าฐาน (baseline) เป็นค่ามัธยฐานของ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ใน 10 รอบแรก จากนั้นคำนวณร้อยละการเปลี่ยนแปลงของค่าความต้านทานในแต่ละรอบตามสมการที่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before="40" w:line="240" w:lineRule="auto"/>
        <w:jc w:val="center"/>
        <w:rPr/>
      </w:pPr>
      <m:oMath>
        <m:r>
          <m:t>Δ</m:t>
        </m:r>
        <m:sSub>
          <m:sSubPr>
            <m:ctrlPr>
              <w:rPr/>
            </m:ctrlPr>
          </m:sSubPr>
          <m:e>
            <m:r>
              <w:rPr/>
              <m:t xml:space="preserve">R</m:t>
            </m:r>
          </m:e>
          <m:sub>
            <m:r>
              <w:rPr/>
              <m:t xml:space="preserve">x</m:t>
            </m:r>
          </m:sub>
        </m:sSub>
        <m:r>
          <w:rPr/>
          <m:t xml:space="preserve"> (%) = </m:t>
        </m:r>
        <m:f>
          <m:fPr>
            <m:ctrlPr>
              <w:rPr/>
            </m:ctrlPr>
          </m:fPr>
          <m:num>
            <m:sSub>
              <m:sSubPr>
                <m:ctrlPr>
                  <w:rPr/>
                </m:ctrlPr>
              </m:sSubPr>
              <m:e>
                <m:r>
                  <w:rPr/>
                  <m:t xml:space="preserve">R</m:t>
                </m:r>
              </m:e>
              <m:sub>
                <m:r>
                  <w:rPr/>
                  <m:t xml:space="preserve">x</m:t>
                </m:r>
              </m:sub>
            </m:sSub>
            <m:r>
              <w:rPr/>
              <m:t xml:space="preserve"> − </m:t>
            </m:r>
            <m:sSub>
              <m:sSubPr>
                <m:ctrlPr>
                  <w:rPr/>
                </m:ctrlPr>
              </m:sSubPr>
              <m:e>
                <m:r>
                  <w:rPr/>
                  <m:t xml:space="preserve">R</m:t>
                </m:r>
              </m:e>
              <m:sub>
                <m:r>
                  <w:rPr/>
                  <m:t xml:space="preserve">baseline</m:t>
                </m:r>
              </m:sub>
            </m:sSub>
          </m:num>
          <m:den>
            <m:sSub>
              <m:sSubPr>
                <m:ctrlPr>
                  <w:rPr/>
                </m:ctrlPr>
              </m:sSubPr>
              <m:e>
                <m:r>
                  <w:rPr/>
                  <m:t xml:space="preserve">R</m:t>
                </m:r>
              </m:e>
              <m:sub>
                <m:r>
                  <w:rPr/>
                  <m:t xml:space="preserve">baseline</m:t>
                </m:r>
              </m:sub>
            </m:sSub>
          </m:den>
        </m:f>
        <m:r>
          <w:rPr/>
          <m:t xml:space="preserve"> × 100</m:t>
        </m:r>
      </m:oMath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    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โดย Δ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x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(%) คือร้อยละการเปลี่ยนแปลงของค่าความต้านทาน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x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คือค่า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หรือ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ในรอบที่พิจารณา และค่าฐานคือค่ามัธยฐาน 10 รอบแรก จุดเตือนเกิดเมื่อค่าความต้านทานเพิ่มขึ้นถึงเกณฑ์ตามสมการที่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0" w:before="40" w:line="240" w:lineRule="auto"/>
        <w:jc w:val="both"/>
        <w:rPr/>
      </w:pPr>
      <m:oMath>
        <m:sSub>
          <m:sSubPr>
            <m:ctrlPr>
              <w:rPr/>
            </m:ctrlPr>
          </m:sSubPr>
          <m:e>
            <m:r>
              <w:rPr/>
              <m:t xml:space="preserve">R</m:t>
            </m:r>
          </m:e>
          <m:sub>
            <m:r>
              <w:rPr/>
              <m:t xml:space="preserve">x</m:t>
            </m:r>
          </m:sub>
        </m:sSub>
        <m:r>
          <w:rPr/>
          <m:t xml:space="preserve"> ≥ </m:t>
        </m:r>
        <m:sSub>
          <m:sSubPr>
            <m:ctrlPr>
              <w:rPr/>
            </m:ctrlPr>
          </m:sSubPr>
          <m:e>
            <m:r>
              <w:rPr/>
              <m:t xml:space="preserve">R</m:t>
            </m:r>
          </m:e>
          <m:sub>
            <m:r>
              <w:rPr/>
              <m:t xml:space="preserve">baseline</m:t>
            </m:r>
          </m:sub>
        </m:sSub>
        <m:r>
          <w:rPr/>
          <m:t xml:space="preserve">(1 + </m:t>
        </m:r>
        <m:r>
          <w:rPr/>
          <m:t>θ</m:t>
        </m:r>
        <m:r>
          <w:rPr/>
          <m:t xml:space="preserve">)</m:t>
        </m:r>
      </m:oMath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    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โดย θ คือเกณฑ์ (threshold) ที่ใช้ ได้แก่ 0.10, 0.15 และ 0.20 (ร้อยละ 10, 15 และ 20) และคำนวณระยะเวลาเตือนล่วงหน้า (lead time) ตามสมการที่ 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before="40" w:line="240" w:lineRule="auto"/>
        <w:jc w:val="both"/>
        <w:rPr/>
      </w:pPr>
      <m:oMath>
        <m:r>
          <w:rPr/>
          <m:t xml:space="preserve">Lead time = </m:t>
        </m:r>
        <m:sSub>
          <m:sSubPr>
            <m:ctrlPr>
              <w:rPr/>
            </m:ctrlPr>
          </m:sSubPr>
          <m:e>
            <m:r>
              <w:rPr/>
              <m:t xml:space="preserve">C</m:t>
            </m:r>
          </m:e>
          <m:sub>
            <m:r>
              <w:rPr/>
              <m:t xml:space="preserve">EOL</m:t>
            </m:r>
          </m:sub>
        </m:sSub>
        <m:r>
          <w:rPr/>
          <m:t xml:space="preserve"> − </m:t>
        </m:r>
        <m:sSub>
          <m:sSubPr>
            <m:ctrlPr>
              <w:rPr/>
            </m:ctrlPr>
          </m:sSubPr>
          <m:e>
            <m:r>
              <w:rPr/>
              <m:t xml:space="preserve">C</m:t>
            </m:r>
          </m:e>
          <m:sub>
            <m:r>
              <w:rPr/>
              <m:t xml:space="preserve">threshold</m:t>
            </m:r>
          </m:sub>
        </m:sSub>
      </m:oMath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     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โดย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C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EOL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คือรอบที่แบตเตอรี่ถึงจุดสิ้นอายุการใช้งาน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C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threshold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คือรอบแรกที่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หรือ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ข้ามเกณฑ์ หากค่าเป็นบวกหมายถึงเตือนก่อนถึง EOL นอกจากนี้ยังนิยามตัวชี้วัดรวม (composite indicator) ที่รวมสองค่าเป็นสัญญาณเดียวตามสมการที่ (4) และตรวจสอบความถูกต้องแบบ Leave-One-Out ที่กันข้อมูลออกทีละเซลล์เพื่อทดสอบการวางนัยทั่วไป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0" w:before="40" w:line="240" w:lineRule="auto"/>
        <w:jc w:val="center"/>
        <w:rPr/>
      </w:pPr>
      <m:oMath>
        <m:r>
          <w:rPr/>
          <m:t xml:space="preserve">Composite = 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(Δ</m:t>
        </m:r>
        <m:sSub>
          <m:sSubPr>
            <m:ctrlPr>
              <w:rPr/>
            </m:ctrlPr>
          </m:sSubPr>
          <m:e>
            <m:r>
              <w:rPr/>
              <m:t xml:space="preserve">R</m:t>
            </m:r>
          </m:e>
          <m:sub>
            <m:r>
              <w:rPr/>
              <m:t xml:space="preserve">e</m:t>
            </m:r>
          </m:sub>
        </m:sSub>
        <m:r>
          <w:rPr/>
          <m:t xml:space="preserve">% + Δ</m:t>
        </m:r>
        <m:sSub>
          <m:sSubPr>
            <m:ctrlPr>
              <w:rPr/>
            </m:ctrlPr>
          </m:sSubPr>
          <m:e>
            <m:r>
              <w:rPr/>
              <m:t xml:space="preserve">R</m:t>
            </m:r>
          </m:e>
          <m:sub>
            <m:r>
              <w:rPr/>
              <m:t xml:space="preserve">ct</m:t>
            </m:r>
          </m:sub>
        </m:sSub>
        <m:r>
          <w:rPr/>
          <m:t xml:space="preserve">%)</m:t>
        </m:r>
      </m:oMath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     (4)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spacing w:after="40" w:before="12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ผลและอภิปรายผล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spacing w:after="20" w:before="8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ความสามารถในการเตือนล่วงหน้าของ 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จากการวิเคราะห์เซลล์ NASA ที่มีคุณภาพข้อมูลเพียงพอ พบว่าค่า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เพิ่มขึ้นอย่างชัดเจนพร้อมกับความจุที่ลดลง ดังรูปที่ 2 เมื่อใช้เกณฑ์การเพิ่มขึ้นร้อยละ 10 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เตือนล่วงหน้าได้ถึง 62 รอบในเซลล์ B0005 และ 47 รอบในเซลล์ B0006 ขณะที่ค่า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เตือนได้ 45 และ 43 รอบตามลำดับ ดังแสดงในตารางที่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spacing w:after="40" w:before="8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1980000" cy="1037298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037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รูปที่ 2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การเปลี่ยนแปลงของ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(แกนขวา) เทียบกับความจุ (แกนซ้าย) ของเซลล์ B0005 จุดสัญลักษณ์คือรอบที่ค่าอิมพีแดนซ์ข้ามเกณฑ์ ก่อนถึงเส้น EOL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spacing w:after="40" w:before="12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ตารางที่ 2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ระยะเวลาเตือนล่วงหน้า (รอบ) ที่เกณฑ์ร้อยละ 10</w:t>
      </w:r>
      <w:r w:rsidDel="00000000" w:rsidR="00000000" w:rsidRPr="00000000">
        <w:rPr>
          <w:rtl w:val="0"/>
        </w:rPr>
      </w:r>
    </w:p>
    <w:tbl>
      <w:tblPr>
        <w:tblStyle w:val="Table2"/>
        <w:tblW w:w="8664.0" w:type="dxa"/>
        <w:jc w:val="center"/>
        <w:tblLayout w:type="fixed"/>
        <w:tblLook w:val="0400"/>
      </w:tblPr>
      <w:tblGrid>
        <w:gridCol w:w="2166"/>
        <w:gridCol w:w="2166"/>
        <w:gridCol w:w="2166"/>
        <w:gridCol w:w="2166"/>
        <w:tblGridChange w:id="0">
          <w:tblGrid>
            <w:gridCol w:w="2166"/>
            <w:gridCol w:w="2166"/>
            <w:gridCol w:w="2166"/>
            <w:gridCol w:w="21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เซลล์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รอบที่ถึง EOL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R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vertAlign w:val="subscript"/>
                <w:rtl w:val="0"/>
              </w:rPr>
              <w:t xml:space="preserve">e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 +10%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R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vertAlign w:val="subscript"/>
                <w:rtl w:val="0"/>
              </w:rPr>
              <w:t xml:space="preserve">ct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 +10%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B0005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B0006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B0018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ไม่เตือน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ไม่เตือน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เมื่อใช้เกณฑ์ที่สูงขึ้น จุดเตือนจะเกิดช้าลงอย่างชัดเจน เช่น เซลล์ B0005 ระยะเวลาเตือนล่วงหน้าของ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ลดจาก 45 รอบที่ร้อยละ 10 เหลือ 23 รอบที่ร้อยละ 15 และเป็น −3 รอบ (เตือนหลัง EOL) ที่ร้อยละ 20 ในทำนองเดียวกัน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+20% ของเซลล์ B0006 เหลือเพียง 2 รอบ จึงควรใช้เกณฑ์ร้อยละ 10 เป็นหลัก เพราะให้ระยะเวลาเตือนล่วงหน้ามากที่สุดโดยยังไม่ไวต่อสัญญาณรบกวนจนเกินไป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spacing w:after="20" w:before="8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การเปรียบเทียบ EIS กับความต้านทานแบบกระแสตรง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ผลลัพธ์ที่โดดเด่นที่สุดคือการเปรียบเทียบ EIS กับความต้านทานภายในแบบกระแสตรง (DC internal resistance) จากฐานข้อมูล CALCE ดังรูปที่ 3 พบว่าความต้านทานแบบกระแสตรงมีค่าค่อนข้างคงที่จนใกล้ถึง EOL จึงเพิ่มขึ้นอย่างรวดเร็ว ทำให้จุดเตือนเกิดที่หรือหลังจุด EOL (ค่ามัธยฐานของระยะเวลาเตือนล่วงหน้าประมาณศูนย์) ต่างจาก EIS ที่เตือนล่วงหน้าประมาณ 50 รอบ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ความแตกต่างนี้อธิบายได้ว่า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สะท้อนองค์ประกอบเชิงโอห์มซึ่งเปลี่ยนแปลงช้า ขณะที่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สะท้อนการเสื่อมเชิงจลนศาสตร์ที่ผิวขั้วไฟฟ้าซึ่งเพิ่มตั้งแต่ช่วงต้น ทั้งสองค่าจึงเพิ่มก่อนความจุ ต่างจากความต้านทานแบบกระแสตรงที่สะท้อนโพลาไรเซชันชั่วขณะเป็นหลัก จึงตอบสนองช้ากว่า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spacing w:after="40" w:before="8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1980000" cy="1013209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0132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รูปที่ 3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การเปรียบเทียบระยะเวลาเตือนล่วงหน้า: EIS (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) เตือนก่อน 44–54 รอบ ขณะที่ความต้านทานแบบกระแสตรงมีค่ามัธยฐานประมาณศูนย์ (เตือนไม่ทัน)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1"/>
        <w:spacing w:after="20" w:before="8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ผลของอุณหภูมิต่อค่าอิมพีแดนซ์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0" w:before="0" w:line="240" w:lineRule="auto"/>
        <w:ind w:firstLine="567"/>
        <w:jc w:val="both"/>
        <w:rPr/>
        <w:sectPr>
          <w:type w:val="continuous"/>
          <w:pgSz w:h="16838" w:w="11906" w:orient="portrait"/>
          <w:pgMar w:bottom="1440" w:top="1800" w:left="1800" w:right="1440" w:header="720" w:footer="720"/>
          <w:pgNumType w:start="1"/>
          <w:cols w:equalWidth="0" w:num="2">
            <w:col w:space="425" w:w="4120.5"/>
            <w:col w:space="0" w:w="4120.5"/>
          </w:cols>
        </w:sect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เมื่อวิเคราะห์เซลล์ NASA ที่ทดสอบในหลายระดับอุณหภูมิ พบว่าค่าฐานของ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ลดลงตามอุณหภูมิที่สูงขึ้นในลักษณะสอดคล้องกับสมการอาร์เรเนียส (Arrhenius) กล่าวคือ ที่อุณหภูมิต่ำปฏิกิริยาเชิงจลนศาสตร์ช้าลงทำให้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สูงขึ้น (0.178 โอห์มที่ 4 องศาเซลเซียส) และลดลงเมื่ออุณหภูมิสูงขึ้น (0.062 โอห์มที่ 43 องศาเซลเซียส) ดังรูปที่ 4 และตารางที่ 3 ในทางกลับกัน อุณหภูมิสูงเร่งอัตราการเสื่อมของความจุให้เร็วขึ้น ซึ่งเป็นการแลกเปลี่ยน (trade-off) ที่ต้องคำนึงในการใช้งาน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spacing w:after="40" w:before="12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ตารางที่ 3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ค่าฐานเฉลี่ยของอิมพีแดนซ์และอัตราการเสื่อมความจุจำแนกตามอุณหภูมิ</w:t>
      </w:r>
      <w:r w:rsidDel="00000000" w:rsidR="00000000" w:rsidRPr="00000000">
        <w:rPr>
          <w:rtl w:val="0"/>
        </w:rPr>
      </w:r>
    </w:p>
    <w:tbl>
      <w:tblPr>
        <w:tblStyle w:val="Table3"/>
        <w:tblW w:w="8664.0" w:type="dxa"/>
        <w:jc w:val="center"/>
        <w:tblLayout w:type="fixed"/>
        <w:tblLook w:val="0400"/>
      </w:tblPr>
      <w:tblGrid>
        <w:gridCol w:w="2166"/>
        <w:gridCol w:w="2166"/>
        <w:gridCol w:w="2166"/>
        <w:gridCol w:w="2166"/>
        <w:tblGridChange w:id="0">
          <w:tblGrid>
            <w:gridCol w:w="2166"/>
            <w:gridCol w:w="2166"/>
            <w:gridCol w:w="2166"/>
            <w:gridCol w:w="21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อุณหภูมิ (°C)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R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vertAlign w:val="subscript"/>
                <w:rtl w:val="0"/>
              </w:rPr>
              <w:t xml:space="preserve">e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 ฐาน (Ω)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R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vertAlign w:val="subscript"/>
                <w:rtl w:val="0"/>
              </w:rPr>
              <w:t xml:space="preserve">ct</w:t>
            </w: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 ฐาน (Ω)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1"/>
                <w:bCs w:val="1"/>
                <w:i w:val="0"/>
                <w:iCs w:val="0"/>
                <w:sz w:val="28"/>
                <w:szCs w:val="28"/>
                <w:rtl w:val="0"/>
              </w:rPr>
              <w:t xml:space="preserve">อัตราเสื่อม (Ah/รอบ)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0.100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0.178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−0.0013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0.073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0.098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−0.0027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0.051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0.062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Sarabun" w:cs="Sarabun" w:eastAsia="Sarabun" w:hAnsi="Sarabun"/>
                <w:b w:val="0"/>
                <w:bCs w:val="0"/>
                <w:i w:val="0"/>
                <w:iCs w:val="0"/>
                <w:sz w:val="28"/>
                <w:szCs w:val="28"/>
                <w:rtl w:val="0"/>
              </w:rPr>
              <w:t xml:space="preserve">−0.0046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before="0" w:lineRule="auto"/>
        <w:rPr>
          <w:sz w:val="4"/>
          <w:szCs w:val="4"/>
        </w:rPr>
        <w:sectPr>
          <w:type w:val="continuous"/>
          <w:pgSz w:h="16838" w:w="11906" w:orient="portrait"/>
          <w:pgMar w:bottom="1440" w:top="1800" w:left="180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1"/>
        <w:spacing w:after="40" w:before="8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1980000" cy="1220389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2203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รูปที่ 4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ค่าฐานของ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ลดลงเมื่ออุณหภูมิสูงขึ้นในลักษณะสอดคล้องกับสมการอาร์เรเนียส (ค่าเฉลี่ย ± ส่วนเบี่ยงเบนมาตรฐาน)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1"/>
        <w:spacing w:after="20" w:before="8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การตรวจสอบข้ามชนิดสารเคมีและความน่าเชื่อถือ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เมื่อนำเส้นการเสื่อมของความจุจากทั้งสามชนิดสารเคมีมาปรับให้อยู่ในมาตราส่วนเดียวกัน (normalize) พบว่าทุกชนิดผ่านแถบเตือนที่ร้อยละ 90 ถึง 80 ของสภาพความสมบูรณ์ (State of Health) ในลักษณะใกล้เคียงกัน ดังรูปที่ 5 แสดงว่าแนวคิดการเตือนล่วงหน้าสามารถวางนัยทั่วไปข้ามชนิดแบตเตอรี่ได้ นอกจากนี้การตรวจสอบแบบ Leave-One-Out ให้ระยะเวลาเตือนเฉลี่ยของ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+10% เท่ากับ 54 ± 8 รอบ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+10% เท่ากับ 44 ± 1 รอบ ยืนยันว่าวิธีการมีความสม่ำเสมอ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1"/>
        <w:spacing w:after="40" w:before="8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1980000" cy="102986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029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รูปที่ 5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เส้นการเสื่อมของความจุที่ปรับมาตราส่วนแล้วของสามชนิดสารเคมี ผ่านแถบเตือนร้อยละ 90–80 อย่างสอดคล้องกัน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spacing w:after="20" w:before="8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ตัวชี้วัดรวม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เพื่อความสะดวกในการนำไปใช้จริง ได้รวมค่า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เป็นตัวชี้วัดเดียวตามสมการที่ (4) ทำให้เฝ้าติดตามเพียงค่าเดียวแทนสองค่า ดังรูปที่ 6 ซึ่งเตือนล่วงหน้าได้ 47 รอบในเซลล์ B0005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1"/>
        <w:spacing w:after="40" w:before="8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1980000" cy="1034741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034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before="0" w:line="240" w:lineRule="auto"/>
        <w:jc w:val="center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รูปที่ 6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ตัวชี้วัดรวมของเซลล์ B0005 ข้ามเกณฑ์ร้อยละ 10 ก่อนถึง EOL 47 รอบ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spacing w:after="20" w:before="8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ข้อจำกัดของงานวิจัย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งานวิจัยมีข้อจำกัดที่ควรระบุอย่างตรงไปตรงมา ประการแรก จำนวนเซลล์ที่มีข้อมูล EIS ครบและเสื่อมถึง EOL มีจำกัด (มีเพียงฐานข้อมูล NASA) ทำให้กลุ่มตัวอย่างสำหรับวิเคราะห์การเตือนไม่มาก การขยายกลุ่มตัวอย่างจะช่วยเพิ่มความเชื่อมั่นทางสถิติของระยะเวลาเตือนล่วงหน้า ประการที่สอง ชนิดสารเคมีของแบตเตอรี่ยังไม่ครอบคลุมทั้งหมด (เน้น LCO) ยังไม่ได้ทดสอบกับ NMC หรือ LFP ซึ่งมีกลไกการเสื่อมและลักษณะอิมพีแดนซ์ที่อาจแตกต่างออกไป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ประการที่สาม ข้อมูลจากฐานข้อมูลสาธารณะทั้งสามแหล่งมีเงื่อนไขการทดลองต่างกัน ทั้งอัตราการประจุ-คายประจุ อุณหภูมิ และวิธีการวัดอิมพีแดนซ์ ทำให้การเปรียบเทียบโดยตรงต้องทำอย่างระมัดระวังและอาศัยการปรับมาตราส่วน (normalize) ประการที่สี่ การวัด EIS ต้องใช้เครื่องมือเฉพาะและมักวัดขณะแบตเตอรี่พัก จึงยังเป็นความท้าทายในการนำไปใช้แบบเรียลไทม์บนอุปกรณ์จริง นอกจากนี้เซลล์ B0018 มีการเพิ่มขึ้นของ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น้อยกว่าร้อยละ 10 ตลอดอายุการใช้งาน จึงไม่สามารถเตือนได้ ซึ่งได้รายงานผลตามความเป็นจริงเพื่อความโปร่งใสของงานวิจัย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spacing w:after="40" w:before="12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สรุปผล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0" w:before="0" w:line="240" w:lineRule="auto"/>
        <w:ind w:firstLine="567"/>
        <w:jc w:val="both"/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งานวิจัยนี้แสดงให้เห็นว่าค่าอิมพีแดนซ์จาก EIS ได้แก่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เป็นสัญญาณเตือนจุดสิ้นอายุการใช้งานล่วงหน้าที่ใช้ได้จริง โดยเตือนก่อนถึง EOL ระหว่าง 44 ถึง 62 รอบ และผ่านการตรวจสอบแบบ Leave-One-Out จุดเด่นที่สำคัญคือ EIS </w:t>
      </w:r>
    </w:p>
    <w:p w:rsidR="00000000" w:rsidDel="00000000" w:rsidP="00000000" w:rsidRDefault="00000000" w:rsidRPr="00000000" w14:paraId="0000007A">
      <w:pPr>
        <w:spacing w:after="20" w:before="0" w:line="240" w:lineRule="auto"/>
        <w:ind w:left="0" w:firstLine="0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มีประสิทธิภาพเหนือกว่าความต้านทานภายในแบบกระแสตรง เนื่องจากสามารถตรวจจับการเสื่อมสภาพเชิงจลนศาสตร์ในช่วงต้น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ทั้งผลของอุณหภูมิและการตรวจสอบข้ามชนิดสารเคมียืนยันว่าวิธีการวางนัยทั่วไปได้ องค์ความรู้นี้สามารถนำไปประยุกต์พัฒนาระบบบริหารจัดการแบตเตอรี่ (battery management system) ที่เตือนการเสื่อมสภาพล่วงหน้าเพื่อเพิ่มความปลอดภัยและลดค่าใช้จ่ายในการบำรุงรักษา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spacing w:after="40" w:before="12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ข้อเสนอแนะ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0" w:before="0" w:line="240" w:lineRule="auto"/>
        <w:ind w:firstLine="567"/>
        <w:jc w:val="both"/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</w:r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การศึกษาในอนาคตควรขยายผลดังนี้ (1) เพิ่มจำนวนเซลล์ที่มีข้อมูล EIS และถึงจุด EOL เพื่อเสริมความแข็งแรงของการตรวจสอบแบบ Leave-One-Out และเพิ่มความเชื่อมั่นทางสถิติ (2) ทดสอบกับสารเคมีชนิดอื่น เช่น NMC และ LFP เพื่อยืนยันการวางนัยทั่วไปให้กว้างขึ้น (3) ประยุกต์การวิเคราะห์วงจรสมมูล (equivalent circuit fitting) เพื่อสกัดพารามิเตอร์ Warburg และ CPE </w:t>
      </w:r>
    </w:p>
    <w:p w:rsidR="00000000" w:rsidDel="00000000" w:rsidP="00000000" w:rsidRDefault="00000000" w:rsidRPr="00000000" w14:paraId="0000007D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ซึ่งจะช่วยเชื่อมโยงสัญญาณเตือนกับกลไกการเสื่อมเชิงกายภาพได้ชัดเจนขึ้น หากมีข้อมูลความถี่ครบถ้วน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0" w:before="0" w:line="240" w:lineRule="auto"/>
        <w:ind w:firstLine="567"/>
        <w:jc w:val="both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นอกจากนี้ (4) ควรพัฒนาตัวชี้วัดรวมที่ผสานทั้ง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e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1"/>
          <w:iCs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vertAlign w:val="subscript"/>
          <w:rtl w:val="0"/>
        </w:rPr>
        <w:t xml:space="preserve">ct</w:t>
      </w: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 และอัตราการเปลี่ยนแปลง ร่วมกับเทคนิคการเรียนรู้ของเครื่อง (machine learning) เพื่อเพิ่มความแม่นยำ และ (5) พัฒนาต้นแบบระบบวัด EIS แบบฝังตัว (on-board) เพื่อบูรณาการสัญญาณเตือนเข้ากับระบบบริหารจัดการแบตเตอรี่ (BMS) จริง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spacing w:after="40" w:before="120" w:line="240" w:lineRule="auto"/>
        <w:jc w:val="both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กิตติกรรมประกาศ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0" w:before="0" w:line="240" w:lineRule="auto"/>
        <w:ind w:firstLine="567"/>
        <w:jc w:val="both"/>
        <w:rPr/>
        <w:sectPr>
          <w:type w:val="continuous"/>
          <w:pgSz w:h="16838" w:w="11906" w:orient="portrait"/>
          <w:pgMar w:bottom="1440" w:top="1800" w:left="1800" w:right="1440" w:header="720" w:footer="720"/>
          <w:pgNumType w:start="1"/>
          <w:cols w:equalWidth="0" w:num="2">
            <w:col w:space="425" w:w="4120.5"/>
            <w:col w:space="0" w:w="4120.5"/>
          </w:cols>
        </w:sect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ขอขอบคุณ NASA Prognostics Center of Excellence, University of Oxford และ CALCE มหาวิทยาลัยแมริแลนด์ ที่เผยแพร่ชุดข้อมูลแบตเตอรี่สาธารณะซึ่งใช้ในงานวิจัยนี้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spacing w:after="40" w:before="120" w:line="240" w:lineRule="auto"/>
        <w:jc w:val="left"/>
        <w:rPr/>
      </w:pPr>
      <w:r w:rsidDel="00000000" w:rsidR="00000000" w:rsidRPr="00000000">
        <w:rPr>
          <w:rFonts w:ascii="Sarabun" w:cs="Sarabun" w:eastAsia="Sarabun" w:hAnsi="Sarabun"/>
          <w:b w:val="1"/>
          <w:bCs w:val="1"/>
          <w:i w:val="0"/>
          <w:iCs w:val="0"/>
          <w:sz w:val="28"/>
          <w:szCs w:val="28"/>
          <w:rtl w:val="0"/>
        </w:rPr>
        <w:t xml:space="preserve">เอกสารอ้างอิง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60" w:before="0" w:line="240" w:lineRule="auto"/>
        <w:ind w:left="425" w:hanging="425"/>
        <w:jc w:val="left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Barré, A., Deguilhem, B., Grolleau, S., Gérard, M., Suard, F., &amp; Riu, D. (2013). A review on lithium-ion battery ageing mechanisms and estimations for automotive applications. Journal of Power Sources, 241, 680–689. https://doi.org/10.1016/j.jpowsour.2013.05.040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60" w:before="0" w:line="240" w:lineRule="auto"/>
        <w:ind w:left="425" w:hanging="425"/>
        <w:jc w:val="left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Birkl, C. R., Roberts, M. R., McTurk, E., Bruce, P. G., &amp; Howey, D. A. (2017). Degradation diagnostics for lithium ion cells. Journal of Power Sources, 341, 373–386. https://doi.org/10.1016/j.jpowsour.2016.12.011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60" w:before="0" w:line="240" w:lineRule="auto"/>
        <w:ind w:left="425" w:hanging="425"/>
        <w:jc w:val="left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Birkl, C. R. (2017). Oxford battery degradation dataset 1. University of Oxford. สืบค้นจาก https://ora.ox.ac.uk/objects/uuid:03ba4b01-cfed-46d3-9b1a-7d4a7bdf6fac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60" w:before="0" w:line="240" w:lineRule="auto"/>
        <w:ind w:left="425" w:hanging="425"/>
        <w:jc w:val="left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Center for Advanced Life Cycle Engineering. (n.d.). CS2 lithium-ion battery cycling data. University of Maryland. สืบค้นจาก https://web.calce.umd.edu/batteries/data/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60" w:before="0" w:line="240" w:lineRule="auto"/>
        <w:ind w:left="425" w:hanging="425"/>
        <w:jc w:val="left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Pastor-Fernández, C., Uddin, K., Chouchelamane, G. H., Widanage, W. D., &amp; Marco, J. (2017). A comparison between electrochemical impedance spectroscopy and incremental capacity-differential voltage as diagnostic techniques for lithium-ion batteries. Journal of Power Sources, 360, 301–318. https://doi.org/10.1016/j.jpowsour.2017.03.042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60" w:before="0" w:line="240" w:lineRule="auto"/>
        <w:ind w:left="425" w:hanging="425"/>
        <w:jc w:val="left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Saha, B., &amp; Goebel, K. (2007). Battery data set. NASA Ames Prognostics Center of Excellence. สืบค้นจาก https://data.nasa.gov/dataset/li-ion-battery-aging-datasets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60" w:before="0" w:line="240" w:lineRule="auto"/>
        <w:ind w:left="425" w:hanging="425"/>
        <w:jc w:val="left"/>
        <w:rPr/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Waag, W., Käbitz, S., &amp; Sauer, D. U. (2013). Experimental investigation of the lithium-ion battery impedance characteristic at various conditions and aging states. Applied Energy, 102, 885–897. https://doi.org/10.1016/j.apenergy.2012.09.030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60" w:before="0" w:line="240" w:lineRule="auto"/>
        <w:ind w:left="425" w:hanging="425"/>
        <w:jc w:val="left"/>
        <w:rPr/>
        <w:sectPr>
          <w:type w:val="continuous"/>
          <w:pgSz w:h="16838" w:w="11906" w:orient="portrait"/>
          <w:pgMar w:bottom="1440" w:top="1800" w:left="1800" w:right="1440" w:header="720" w:footer="720"/>
          <w:pgNumType w:start="1"/>
        </w:sectPr>
      </w:pPr>
      <w:r w:rsidDel="00000000" w:rsidR="00000000" w:rsidRPr="00000000">
        <w:rPr>
          <w:rFonts w:ascii="Sarabun" w:cs="Sarabun" w:eastAsia="Sarabun" w:hAnsi="Sarabun"/>
          <w:b w:val="0"/>
          <w:bCs w:val="0"/>
          <w:i w:val="0"/>
          <w:iCs w:val="0"/>
          <w:sz w:val="28"/>
          <w:szCs w:val="28"/>
          <w:rtl w:val="0"/>
        </w:rPr>
        <w:t xml:space="preserve">Xiong, R., Li, L., &amp; Tian, J. (2018). Towards a smarter battery management system: A critical review on optimal charging methods of lithium ion batteries. Journal of Power Sources, 388, 115–134. https://doi.org/10.1016/j.jpowsour.2018.03.076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40" w:top="1800" w:left="1800" w:right="1440" w:header="720" w:footer="720"/>
      <w:pgNumType w:start="1"/>
      <w:cols w:equalWidth="0" w:num="2">
        <w:col w:space="720" w:w="3972.9999999999995"/>
        <w:col w:space="0" w:w="3972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-1347469</wp:posOffset>
          </wp:positionH>
          <wp:positionV relativeFrom="paragraph">
            <wp:posOffset>28887</wp:posOffset>
          </wp:positionV>
          <wp:extent cx="7834343" cy="66874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-1142999</wp:posOffset>
          </wp:positionH>
          <wp:positionV relativeFrom="paragraph">
            <wp:posOffset>-523124</wp:posOffset>
          </wp:positionV>
          <wp:extent cx="7560046" cy="1299577"/>
          <wp:effectExtent b="0" l="0" r="0" t="0"/>
          <wp:wrapNone/>
          <wp:docPr id="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87836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18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7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5" Type="http://schemas.openxmlformats.org/officeDocument/2006/relationships/image" Target="media/image8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T60ILPGVZ+glLNi88G1waG/9wA==">CgMxLjA4AHIhMUlQUHJLUGpLYXU0bm5rc2xtcVRWcFhnWms4ZkdXX2pD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