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6B2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rPr>
      </w:pPr>
    </w:p>
    <w:p w14:paraId="29104D3F" w14:textId="31DB000E" w:rsidR="007E2726" w:rsidRPr="00B3529D" w:rsidRDefault="00B3529D" w:rsidP="00B3529D">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b/>
          <w:bCs/>
          <w:color w:val="000000"/>
          <w:sz w:val="32"/>
          <w:szCs w:val="32"/>
          <w:lang w:val="en-US"/>
        </w:rPr>
      </w:pPr>
      <w:bookmarkStart w:id="0" w:name="_Hlk203207134"/>
      <w:r w:rsidRPr="00B3529D">
        <w:rPr>
          <w:rFonts w:ascii="TH SarabunPSK" w:eastAsia="Sarabun" w:hAnsi="TH SarabunPSK" w:cs="TH SarabunPSK"/>
          <w:b/>
          <w:bCs/>
          <w:color w:val="000000"/>
          <w:sz w:val="32"/>
          <w:szCs w:val="32"/>
          <w:lang w:val="en-US"/>
        </w:rPr>
        <w:t>Development and Characterization of Hydroxyapatite-Based Materials Derived from Waste Nile Tilapia Scales from Mekong River Cage-Farming Communities for a Targeted Drug Delivery System in Bone Infection Treatment</w:t>
      </w:r>
      <w:r w:rsidR="00214FE0" w:rsidRPr="00946B23">
        <w:rPr>
          <w:rFonts w:ascii="TH SarabunPSK" w:eastAsia="Sarabun" w:hAnsi="TH SarabunPSK" w:cs="TH SarabunPSK" w:hint="cs"/>
          <w:b/>
          <w:color w:val="000000"/>
          <w:sz w:val="32"/>
          <w:szCs w:val="32"/>
        </w:rPr>
        <w:t>.</w:t>
      </w:r>
    </w:p>
    <w:p w14:paraId="16FBE35B" w14:textId="77777777" w:rsidR="002D16EE" w:rsidRPr="00B3529D" w:rsidRDefault="002D16EE" w:rsidP="002D16EE">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b/>
          <w:color w:val="000000"/>
        </w:rPr>
      </w:pPr>
    </w:p>
    <w:p w14:paraId="4AEC5010" w14:textId="1CF9F8FC" w:rsidR="00ED59BA" w:rsidRPr="00946B23" w:rsidRDefault="00214FE0" w:rsidP="002D16EE">
      <w:pPr>
        <w:widowControl w:val="0"/>
        <w:pBdr>
          <w:top w:val="nil"/>
          <w:left w:val="nil"/>
          <w:bottom w:val="nil"/>
          <w:right w:val="nil"/>
          <w:between w:val="nil"/>
        </w:pBdr>
        <w:spacing w:after="0" w:line="240" w:lineRule="auto"/>
        <w:ind w:left="215" w:right="-6"/>
        <w:jc w:val="center"/>
        <w:rPr>
          <w:rFonts w:ascii="TH SarabunPSK" w:eastAsia="Sarabun" w:hAnsi="TH SarabunPSK" w:cs="TH SarabunPSK"/>
          <w:color w:val="000000"/>
          <w:sz w:val="28"/>
          <w:szCs w:val="28"/>
          <w:vertAlign w:val="superscript"/>
          <w:lang w:val="en-US"/>
        </w:rPr>
      </w:pPr>
      <w:bookmarkStart w:id="1" w:name="_Hlk203207343"/>
      <w:bookmarkEnd w:id="0"/>
      <w:proofErr w:type="spellStart"/>
      <w:r w:rsidRPr="00946B23">
        <w:rPr>
          <w:rFonts w:ascii="TH SarabunPSK" w:eastAsia="Times New Roman" w:hAnsi="TH SarabunPSK" w:cs="TH SarabunPSK" w:hint="cs"/>
          <w:sz w:val="28"/>
          <w:szCs w:val="28"/>
        </w:rPr>
        <w:t>Patcharapron</w:t>
      </w:r>
      <w:proofErr w:type="spellEnd"/>
      <w:r w:rsidRPr="00946B23">
        <w:rPr>
          <w:rFonts w:ascii="TH SarabunPSK" w:eastAsia="Times New Roman" w:hAnsi="TH SarabunPSK" w:cs="TH SarabunPSK" w:hint="cs"/>
          <w:sz w:val="28"/>
          <w:szCs w:val="28"/>
        </w:rPr>
        <w:t xml:space="preserve"> Sansom</w:t>
      </w:r>
      <w:r w:rsidRPr="00946B23">
        <w:rPr>
          <w:rFonts w:ascii="TH SarabunPSK" w:eastAsia="Times New Roman" w:hAnsi="TH SarabunPSK" w:cs="TH SarabunPSK" w:hint="cs"/>
          <w:sz w:val="28"/>
          <w:szCs w:val="28"/>
          <w:vertAlign w:val="superscript"/>
        </w:rPr>
        <w:t>1</w:t>
      </w:r>
      <w:r w:rsidR="007E2726" w:rsidRPr="00946B23">
        <w:rPr>
          <w:rFonts w:ascii="TH SarabunPSK" w:eastAsia="Sarabun" w:hAnsi="TH SarabunPSK" w:cs="TH SarabunPSK" w:hint="cs"/>
          <w:color w:val="000000"/>
          <w:sz w:val="28"/>
          <w:szCs w:val="28"/>
        </w:rPr>
        <w:t xml:space="preserve">, </w:t>
      </w:r>
      <w:r w:rsidR="0067504B" w:rsidRPr="00946B23">
        <w:rPr>
          <w:rFonts w:ascii="TH SarabunPSK" w:eastAsia="Sarabun" w:hAnsi="TH SarabunPSK" w:cs="TH SarabunPSK" w:hint="cs"/>
          <w:color w:val="000000"/>
          <w:sz w:val="28"/>
          <w:szCs w:val="28"/>
          <w:lang w:val="en-US"/>
        </w:rPr>
        <w:t xml:space="preserve">Wadee </w:t>
      </w:r>
      <w:r w:rsidR="00973EA0" w:rsidRPr="00946B23">
        <w:rPr>
          <w:rFonts w:ascii="TH SarabunPSK" w:eastAsia="Times New Roman" w:hAnsi="TH SarabunPSK" w:cs="TH SarabunPSK" w:hint="cs"/>
          <w:sz w:val="28"/>
          <w:szCs w:val="28"/>
        </w:rPr>
        <w:t>Le</w:t>
      </w:r>
      <w:r w:rsidR="00973EA0" w:rsidRPr="00946B23">
        <w:rPr>
          <w:rFonts w:ascii="TH SarabunPSK" w:eastAsia="Sarabun" w:hAnsi="TH SarabunPSK" w:cs="TH SarabunPSK" w:hint="cs"/>
          <w:color w:val="000000"/>
          <w:sz w:val="28"/>
          <w:szCs w:val="28"/>
          <w:vertAlign w:val="superscript"/>
        </w:rPr>
        <w:t xml:space="preserve"> </w:t>
      </w:r>
      <w:r w:rsidR="007E2726" w:rsidRPr="00946B23">
        <w:rPr>
          <w:rFonts w:ascii="TH SarabunPSK" w:eastAsia="Sarabun" w:hAnsi="TH SarabunPSK" w:cs="TH SarabunPSK" w:hint="cs"/>
          <w:color w:val="000000"/>
          <w:sz w:val="28"/>
          <w:szCs w:val="28"/>
          <w:vertAlign w:val="superscript"/>
        </w:rPr>
        <w:t>1</w:t>
      </w:r>
      <w:bookmarkEnd w:id="1"/>
      <w:r w:rsidR="00973EA0" w:rsidRPr="00946B23">
        <w:rPr>
          <w:rFonts w:ascii="TH SarabunPSK" w:eastAsia="Sarabun" w:hAnsi="TH SarabunPSK" w:cs="TH SarabunPSK" w:hint="cs"/>
          <w:color w:val="000000"/>
          <w:sz w:val="28"/>
          <w:szCs w:val="28"/>
        </w:rPr>
        <w:t>*</w:t>
      </w:r>
      <w:r w:rsidR="00973EA0" w:rsidRPr="00946B23">
        <w:rPr>
          <w:rFonts w:ascii="TH SarabunPSK" w:eastAsia="Sarabun" w:hAnsi="TH SarabunPSK" w:cs="TH SarabunPSK" w:hint="cs"/>
          <w:color w:val="000000"/>
          <w:sz w:val="28"/>
          <w:szCs w:val="28"/>
          <w:vertAlign w:val="superscript"/>
        </w:rPr>
        <w:t xml:space="preserve"> </w:t>
      </w:r>
    </w:p>
    <w:p w14:paraId="79143D0F" w14:textId="69C24CA0" w:rsidR="007E2726" w:rsidRPr="00946B23" w:rsidRDefault="00F55A6A" w:rsidP="002D16E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color w:val="000000"/>
          <w:sz w:val="24"/>
          <w:szCs w:val="24"/>
        </w:rPr>
      </w:pPr>
      <w:bookmarkStart w:id="2" w:name="_Hlk203207557"/>
      <w:r w:rsidRPr="00946B23">
        <w:rPr>
          <w:rFonts w:ascii="TH SarabunPSK" w:eastAsia="Sarabun" w:hAnsi="TH SarabunPSK" w:cs="TH SarabunPSK" w:hint="cs"/>
          <w:i/>
          <w:iCs/>
          <w:color w:val="000000"/>
          <w:sz w:val="24"/>
          <w:szCs w:val="24"/>
          <w:vertAlign w:val="superscript"/>
        </w:rPr>
        <w:t>1</w:t>
      </w:r>
      <w:r w:rsidR="004F3E45" w:rsidRPr="00946B23">
        <w:rPr>
          <w:rFonts w:ascii="TH SarabunPSK" w:eastAsia="Sarabun" w:hAnsi="TH SarabunPSK" w:cs="TH SarabunPSK" w:hint="cs"/>
          <w:i/>
          <w:color w:val="000000"/>
          <w:sz w:val="24"/>
          <w:szCs w:val="24"/>
        </w:rPr>
        <w:t xml:space="preserve">Princess Chulabhorn Science High School </w:t>
      </w:r>
      <w:proofErr w:type="gramStart"/>
      <w:r w:rsidR="004A00C2" w:rsidRPr="00946B23">
        <w:rPr>
          <w:rFonts w:ascii="TH SarabunPSK" w:eastAsia="Times New Roman" w:hAnsi="TH SarabunPSK" w:cs="TH SarabunPSK" w:hint="cs"/>
          <w:i/>
          <w:sz w:val="24"/>
          <w:szCs w:val="24"/>
        </w:rPr>
        <w:t>Mukdahan</w:t>
      </w:r>
      <w:r w:rsidR="004409B0" w:rsidRPr="00946B23">
        <w:rPr>
          <w:rFonts w:ascii="TH SarabunPSK" w:eastAsia="Times New Roman" w:hAnsi="TH SarabunPSK" w:cs="TH SarabunPSK" w:hint="cs"/>
          <w:i/>
          <w:sz w:val="24"/>
          <w:szCs w:val="24"/>
          <w:cs/>
        </w:rPr>
        <w:t xml:space="preserve"> </w:t>
      </w:r>
      <w:r w:rsidR="004A00C2" w:rsidRPr="00946B23">
        <w:rPr>
          <w:rFonts w:ascii="TH SarabunPSK" w:eastAsia="Times New Roman" w:hAnsi="TH SarabunPSK" w:cs="TH SarabunPSK" w:hint="cs"/>
          <w:i/>
          <w:sz w:val="24"/>
          <w:szCs w:val="24"/>
        </w:rPr>
        <w:t>,</w:t>
      </w:r>
      <w:proofErr w:type="gramEnd"/>
      <w:r w:rsidR="004A00C2" w:rsidRPr="00946B23">
        <w:rPr>
          <w:rFonts w:ascii="TH SarabunPSK" w:eastAsia="Times New Roman" w:hAnsi="TH SarabunPSK" w:cs="TH SarabunPSK" w:hint="cs"/>
          <w:i/>
          <w:sz w:val="24"/>
          <w:szCs w:val="24"/>
        </w:rPr>
        <w:t xml:space="preserve"> </w:t>
      </w:r>
      <w:r w:rsidR="00324BE3" w:rsidRPr="00946B23">
        <w:rPr>
          <w:rFonts w:ascii="TH SarabunPSK" w:eastAsia="Times New Roman" w:hAnsi="TH SarabunPSK" w:cs="TH SarabunPSK" w:hint="cs"/>
          <w:i/>
          <w:sz w:val="24"/>
          <w:szCs w:val="24"/>
          <w:cs/>
        </w:rPr>
        <w:t xml:space="preserve"> </w:t>
      </w:r>
      <w:r w:rsidR="0041249A" w:rsidRPr="00946B23">
        <w:rPr>
          <w:rFonts w:ascii="TH SarabunPSK" w:eastAsia="Times New Roman" w:hAnsi="TH SarabunPSK" w:cs="TH SarabunPSK" w:hint="cs"/>
          <w:i/>
          <w:sz w:val="24"/>
          <w:szCs w:val="24"/>
          <w:lang w:val="en-US"/>
        </w:rPr>
        <w:t xml:space="preserve">Bang Sai Yai, Mueang </w:t>
      </w:r>
      <w:r w:rsidR="004A00C2" w:rsidRPr="00946B23">
        <w:rPr>
          <w:rFonts w:ascii="TH SarabunPSK" w:eastAsia="Times New Roman" w:hAnsi="TH SarabunPSK" w:cs="TH SarabunPSK" w:hint="cs"/>
          <w:i/>
          <w:sz w:val="24"/>
          <w:szCs w:val="24"/>
        </w:rPr>
        <w:t>Mukdahan</w:t>
      </w:r>
      <w:r w:rsidR="00271A68" w:rsidRPr="00946B23">
        <w:rPr>
          <w:rFonts w:ascii="TH SarabunPSK" w:eastAsia="Times New Roman" w:hAnsi="TH SarabunPSK" w:cs="TH SarabunPSK" w:hint="cs"/>
          <w:i/>
          <w:sz w:val="24"/>
          <w:szCs w:val="24"/>
        </w:rPr>
        <w:t>, Mukdahan</w:t>
      </w:r>
      <w:r w:rsidR="003D7EDD" w:rsidRPr="00946B23">
        <w:rPr>
          <w:rFonts w:ascii="TH SarabunPSK" w:eastAsia="Sarabun" w:hAnsi="TH SarabunPSK" w:cs="TH SarabunPSK" w:hint="cs"/>
          <w:i/>
          <w:color w:val="000000"/>
          <w:sz w:val="24"/>
          <w:szCs w:val="24"/>
        </w:rPr>
        <w:t>.</w:t>
      </w:r>
      <w:r w:rsidR="00271A68" w:rsidRPr="00946B23">
        <w:rPr>
          <w:rFonts w:ascii="TH SarabunPSK" w:eastAsia="Times New Roman" w:hAnsi="TH SarabunPSK" w:cs="TH SarabunPSK" w:hint="cs"/>
          <w:i/>
          <w:sz w:val="24"/>
          <w:szCs w:val="24"/>
        </w:rPr>
        <w:t xml:space="preserve"> </w:t>
      </w:r>
      <w:r w:rsidR="004A00C2" w:rsidRPr="00946B23">
        <w:rPr>
          <w:rFonts w:ascii="TH SarabunPSK" w:eastAsia="Times New Roman" w:hAnsi="TH SarabunPSK" w:cs="TH SarabunPSK" w:hint="cs"/>
          <w:i/>
          <w:sz w:val="24"/>
          <w:szCs w:val="24"/>
        </w:rPr>
        <w:t>49000</w:t>
      </w:r>
      <w:r w:rsidR="008907AA" w:rsidRPr="00946B23">
        <w:rPr>
          <w:rFonts w:ascii="TH SarabunPSK" w:eastAsia="Times New Roman" w:hAnsi="TH SarabunPSK" w:cs="TH SarabunPSK" w:hint="cs"/>
          <w:i/>
          <w:sz w:val="24"/>
          <w:szCs w:val="24"/>
        </w:rPr>
        <w:t xml:space="preserve"> </w:t>
      </w:r>
      <w:r w:rsidR="004F3E45" w:rsidRPr="00946B23">
        <w:rPr>
          <w:rFonts w:ascii="TH SarabunPSK" w:eastAsia="Sarabun" w:hAnsi="TH SarabunPSK" w:cs="TH SarabunPSK" w:hint="cs"/>
          <w:i/>
          <w:color w:val="000000"/>
          <w:sz w:val="24"/>
          <w:szCs w:val="24"/>
        </w:rPr>
        <w:t>Thailand</w:t>
      </w:r>
    </w:p>
    <w:bookmarkEnd w:id="2"/>
    <w:p w14:paraId="18777398" w14:textId="38478C0A" w:rsidR="007E2726" w:rsidRPr="00946B23" w:rsidRDefault="007E2726" w:rsidP="002D16EE">
      <w:pPr>
        <w:widowControl w:val="0"/>
        <w:pBdr>
          <w:top w:val="nil"/>
          <w:left w:val="nil"/>
          <w:bottom w:val="nil"/>
          <w:right w:val="nil"/>
          <w:between w:val="nil"/>
        </w:pBdr>
        <w:spacing w:after="0" w:line="240" w:lineRule="auto"/>
        <w:ind w:right="95"/>
        <w:jc w:val="center"/>
        <w:rPr>
          <w:rFonts w:ascii="TH SarabunPSK" w:eastAsia="Sarabun" w:hAnsi="TH SarabunPSK" w:cs="TH SarabunPSK"/>
          <w:i/>
          <w:color w:val="000000"/>
          <w:sz w:val="24"/>
          <w:szCs w:val="24"/>
        </w:rPr>
      </w:pPr>
      <w:r w:rsidRPr="00946B23">
        <w:rPr>
          <w:rFonts w:ascii="TH SarabunPSK" w:eastAsia="Sarabun" w:hAnsi="TH SarabunPSK" w:cs="TH SarabunPSK" w:hint="cs"/>
          <w:i/>
          <w:color w:val="000000"/>
          <w:sz w:val="24"/>
          <w:szCs w:val="24"/>
        </w:rPr>
        <w:t xml:space="preserve">*E-mail: </w:t>
      </w:r>
      <w:r w:rsidR="008907AA" w:rsidRPr="00946B23">
        <w:rPr>
          <w:rFonts w:ascii="TH SarabunPSK" w:eastAsia="Sarabun" w:hAnsi="TH SarabunPSK" w:cs="TH SarabunPSK" w:hint="cs"/>
          <w:i/>
          <w:color w:val="000000"/>
          <w:sz w:val="24"/>
          <w:szCs w:val="24"/>
        </w:rPr>
        <w:t>05</w:t>
      </w:r>
      <w:r w:rsidR="00A0084F" w:rsidRPr="00946B23">
        <w:rPr>
          <w:rFonts w:ascii="TH SarabunPSK" w:eastAsia="Sarabun" w:hAnsi="TH SarabunPSK" w:cs="TH SarabunPSK" w:hint="cs"/>
          <w:i/>
          <w:color w:val="000000"/>
          <w:sz w:val="24"/>
          <w:szCs w:val="24"/>
        </w:rPr>
        <w:t>944@pccm.ac.th</w:t>
      </w:r>
    </w:p>
    <w:p w14:paraId="2359D0FC" w14:textId="77777777" w:rsidR="002D16EE" w:rsidRPr="00946B23" w:rsidRDefault="002D16EE" w:rsidP="002D16EE">
      <w:pPr>
        <w:widowControl w:val="0"/>
        <w:pBdr>
          <w:top w:val="nil"/>
          <w:left w:val="nil"/>
          <w:bottom w:val="nil"/>
          <w:right w:val="nil"/>
          <w:between w:val="nil"/>
        </w:pBdr>
        <w:spacing w:after="0" w:line="240" w:lineRule="auto"/>
        <w:ind w:right="95"/>
        <w:jc w:val="center"/>
        <w:rPr>
          <w:rFonts w:ascii="TH SarabunPSK" w:eastAsia="Sarabun" w:hAnsi="TH SarabunPSK" w:cs="TH SarabunPSK"/>
          <w:i/>
          <w:color w:val="FF0000"/>
          <w:sz w:val="24"/>
          <w:szCs w:val="24"/>
        </w:rPr>
      </w:pPr>
    </w:p>
    <w:p w14:paraId="3D4B3977" w14:textId="19ED9191" w:rsidR="00D328B5" w:rsidRPr="00946B23" w:rsidRDefault="007E2726" w:rsidP="002D16EE">
      <w:pPr>
        <w:widowControl w:val="0"/>
        <w:pBdr>
          <w:top w:val="nil"/>
          <w:left w:val="nil"/>
          <w:bottom w:val="nil"/>
          <w:right w:val="nil"/>
          <w:between w:val="nil"/>
        </w:pBdr>
        <w:spacing w:after="0" w:line="240" w:lineRule="auto"/>
        <w:ind w:right="3938"/>
        <w:jc w:val="right"/>
        <w:rPr>
          <w:rFonts w:ascii="TH SarabunPSK" w:eastAsia="Sarabun" w:hAnsi="TH SarabunPSK" w:cs="TH SarabunPSK"/>
          <w:b/>
          <w:color w:val="000000"/>
          <w:sz w:val="32"/>
          <w:szCs w:val="32"/>
        </w:rPr>
      </w:pPr>
      <w:r w:rsidRPr="00946B23">
        <w:rPr>
          <w:rFonts w:ascii="TH SarabunPSK" w:eastAsia="Sarabun" w:hAnsi="TH SarabunPSK" w:cs="TH SarabunPSK" w:hint="cs"/>
          <w:b/>
          <w:color w:val="000000"/>
          <w:sz w:val="32"/>
          <w:szCs w:val="32"/>
        </w:rPr>
        <w:t>Abstract</w:t>
      </w:r>
    </w:p>
    <w:p w14:paraId="49F63201" w14:textId="77777777" w:rsidR="002D16EE" w:rsidRPr="00946B23" w:rsidRDefault="002D16EE" w:rsidP="00617968">
      <w:pPr>
        <w:widowControl w:val="0"/>
        <w:pBdr>
          <w:top w:val="nil"/>
          <w:left w:val="nil"/>
          <w:bottom w:val="nil"/>
          <w:right w:val="nil"/>
          <w:between w:val="nil"/>
        </w:pBdr>
        <w:spacing w:after="0" w:line="240" w:lineRule="auto"/>
        <w:ind w:right="3938"/>
        <w:jc w:val="thaiDistribute"/>
        <w:rPr>
          <w:rFonts w:ascii="TH SarabunPSK" w:eastAsia="Sarabun" w:hAnsi="TH SarabunPSK" w:cs="TH SarabunPSK"/>
          <w:b/>
          <w:color w:val="000000"/>
          <w:sz w:val="32"/>
          <w:szCs w:val="32"/>
        </w:rPr>
      </w:pPr>
    </w:p>
    <w:p w14:paraId="6D819378" w14:textId="410988E5" w:rsidR="00EE5339" w:rsidRPr="00946B23" w:rsidRDefault="00EE5339" w:rsidP="00617968">
      <w:pPr>
        <w:ind w:firstLine="720"/>
        <w:jc w:val="thaiDistribute"/>
        <w:rPr>
          <w:rFonts w:ascii="TH SarabunPSK" w:hAnsi="TH SarabunPSK" w:cs="TH SarabunPSK"/>
          <w:color w:val="000000"/>
          <w:sz w:val="32"/>
          <w:szCs w:val="32"/>
        </w:rPr>
      </w:pPr>
      <w:r w:rsidRPr="00946B23">
        <w:rPr>
          <w:rFonts w:ascii="TH SarabunPSK" w:hAnsi="TH SarabunPSK" w:cs="TH SarabunPSK" w:hint="cs"/>
          <w:color w:val="000000"/>
          <w:sz w:val="32"/>
          <w:szCs w:val="32"/>
        </w:rPr>
        <w:t>This study focuses on the extraction and characterization of hydroxyapatite (</w:t>
      </w:r>
      <w:proofErr w:type="spellStart"/>
      <w:r w:rsidRPr="00946B23">
        <w:rPr>
          <w:rFonts w:ascii="TH SarabunPSK" w:hAnsi="TH SarabunPSK" w:cs="TH SarabunPSK" w:hint="cs"/>
          <w:color w:val="000000"/>
          <w:sz w:val="32"/>
          <w:szCs w:val="32"/>
        </w:rPr>
        <w:t>HAp</w:t>
      </w:r>
      <w:proofErr w:type="spellEnd"/>
      <w:r w:rsidRPr="00946B23">
        <w:rPr>
          <w:rFonts w:ascii="TH SarabunPSK" w:hAnsi="TH SarabunPSK" w:cs="TH SarabunPSK" w:hint="cs"/>
          <w:color w:val="000000"/>
          <w:sz w:val="32"/>
          <w:szCs w:val="32"/>
        </w:rPr>
        <w:t>) derived from Nile tilapia scales to evaluate its quality and suitability as a drug delivery material for bone infection treatment. The fish scales were cleaned, soaked in NaOH solution, and calcined at 1,000 °C</w:t>
      </w:r>
      <w:r w:rsidRPr="00946B23">
        <w:rPr>
          <w:rFonts w:ascii="TH SarabunPSK" w:hAnsi="TH SarabunPSK" w:cs="TH SarabunPSK" w:hint="cs"/>
          <w:color w:val="000000"/>
          <w:sz w:val="32"/>
          <w:szCs w:val="32"/>
          <w:cs/>
        </w:rPr>
        <w:t xml:space="preserve"> </w:t>
      </w:r>
      <w:r w:rsidRPr="00946B23">
        <w:rPr>
          <w:rFonts w:ascii="TH SarabunPSK" w:hAnsi="TH SarabunPSK" w:cs="TH SarabunPSK" w:hint="cs"/>
          <w:color w:val="000000"/>
          <w:sz w:val="32"/>
          <w:szCs w:val="32"/>
        </w:rPr>
        <w:t xml:space="preserve">for 3 h. Five </w:t>
      </w:r>
      <w:proofErr w:type="spellStart"/>
      <w:r w:rsidRPr="00946B23">
        <w:rPr>
          <w:rFonts w:ascii="TH SarabunPSK" w:hAnsi="TH SarabunPSK" w:cs="TH SarabunPSK" w:hint="cs"/>
          <w:color w:val="000000"/>
          <w:sz w:val="32"/>
          <w:szCs w:val="32"/>
        </w:rPr>
        <w:t>HAp</w:t>
      </w:r>
      <w:proofErr w:type="spellEnd"/>
      <w:r w:rsidRPr="00946B23">
        <w:rPr>
          <w:rFonts w:ascii="TH SarabunPSK" w:hAnsi="TH SarabunPSK" w:cs="TH SarabunPSK" w:hint="cs"/>
          <w:color w:val="000000"/>
          <w:sz w:val="32"/>
          <w:szCs w:val="32"/>
        </w:rPr>
        <w:t xml:space="preserve"> formulations were prepared, four of which were further treated with KOH at concentrations of 1</w:t>
      </w:r>
      <w:r w:rsidRPr="00946B23">
        <w:rPr>
          <w:rFonts w:ascii="TH SarabunPSK" w:hAnsi="TH SarabunPSK" w:cs="TH SarabunPSK" w:hint="cs"/>
          <w:color w:val="000000"/>
          <w:sz w:val="32"/>
          <w:szCs w:val="32"/>
          <w:cs/>
        </w:rPr>
        <w:t xml:space="preserve"> </w:t>
      </w:r>
      <w:r w:rsidRPr="00946B23">
        <w:rPr>
          <w:rFonts w:ascii="TH SarabunPSK" w:hAnsi="TH SarabunPSK" w:cs="TH SarabunPSK" w:hint="cs"/>
          <w:color w:val="000000"/>
          <w:sz w:val="32"/>
          <w:szCs w:val="32"/>
        </w:rPr>
        <w:t>M and 3</w:t>
      </w:r>
      <w:r w:rsidRPr="00946B23">
        <w:rPr>
          <w:rFonts w:ascii="TH SarabunPSK" w:hAnsi="TH SarabunPSK" w:cs="TH SarabunPSK" w:hint="cs"/>
          <w:color w:val="000000"/>
          <w:sz w:val="32"/>
          <w:szCs w:val="32"/>
          <w:cs/>
        </w:rPr>
        <w:t xml:space="preserve"> </w:t>
      </w:r>
      <w:r w:rsidRPr="00946B23">
        <w:rPr>
          <w:rFonts w:ascii="TH SarabunPSK" w:hAnsi="TH SarabunPSK" w:cs="TH SarabunPSK" w:hint="cs"/>
          <w:color w:val="000000"/>
          <w:sz w:val="32"/>
          <w:szCs w:val="32"/>
        </w:rPr>
        <w:t xml:space="preserve">M for 1 and 5 hours. Chemical structure was </w:t>
      </w:r>
      <w:proofErr w:type="spellStart"/>
      <w:r w:rsidRPr="00946B23">
        <w:rPr>
          <w:rFonts w:ascii="TH SarabunPSK" w:hAnsi="TH SarabunPSK" w:cs="TH SarabunPSK" w:hint="cs"/>
          <w:color w:val="000000"/>
          <w:sz w:val="32"/>
          <w:szCs w:val="32"/>
        </w:rPr>
        <w:t>analyzed</w:t>
      </w:r>
      <w:proofErr w:type="spellEnd"/>
      <w:r w:rsidRPr="00946B23">
        <w:rPr>
          <w:rFonts w:ascii="TH SarabunPSK" w:hAnsi="TH SarabunPSK" w:cs="TH SarabunPSK" w:hint="cs"/>
          <w:color w:val="000000"/>
          <w:sz w:val="32"/>
          <w:szCs w:val="32"/>
        </w:rPr>
        <w:t xml:space="preserve"> using Fourier-transform infrared spectroscopy (FT-IR), porosity was determined by iodine number via iodometry, and surface characteristics were examined by field-emission scanning electron microscopy (FESEM). Gentamicin was used as the model antibiotic, and its release from </w:t>
      </w:r>
      <w:proofErr w:type="spellStart"/>
      <w:r w:rsidRPr="00946B23">
        <w:rPr>
          <w:rFonts w:ascii="TH SarabunPSK" w:hAnsi="TH SarabunPSK" w:cs="TH SarabunPSK" w:hint="cs"/>
          <w:color w:val="000000"/>
          <w:sz w:val="32"/>
          <w:szCs w:val="32"/>
        </w:rPr>
        <w:t>HAp</w:t>
      </w:r>
      <w:proofErr w:type="spellEnd"/>
      <w:r w:rsidRPr="00946B23">
        <w:rPr>
          <w:rFonts w:ascii="TH SarabunPSK" w:hAnsi="TH SarabunPSK" w:cs="TH SarabunPSK" w:hint="cs"/>
          <w:color w:val="000000"/>
          <w:sz w:val="32"/>
          <w:szCs w:val="32"/>
        </w:rPr>
        <w:t xml:space="preserve"> pellets was measured using spectrophotometry. Statistical analysis was performed using one-way ANOVA followed by Tukey’s HSD post hoc test (p &lt; 0.01).</w:t>
      </w:r>
      <w:r w:rsidR="00617968" w:rsidRPr="00946B23">
        <w:rPr>
          <w:rFonts w:ascii="TH SarabunPSK" w:hAnsi="TH SarabunPSK" w:cs="TH SarabunPSK" w:hint="cs"/>
          <w:color w:val="000000"/>
          <w:sz w:val="32"/>
          <w:szCs w:val="32"/>
        </w:rPr>
        <w:t xml:space="preserve"> </w:t>
      </w:r>
      <w:r w:rsidRPr="00946B23">
        <w:rPr>
          <w:rFonts w:ascii="TH SarabunPSK" w:eastAsia="Times New Roman" w:hAnsi="TH SarabunPSK" w:cs="TH SarabunPSK" w:hint="cs"/>
          <w:color w:val="000000"/>
          <w:sz w:val="32"/>
          <w:szCs w:val="32"/>
        </w:rPr>
        <w:t xml:space="preserve">The </w:t>
      </w:r>
      <w:proofErr w:type="spellStart"/>
      <w:r w:rsidRPr="00946B23">
        <w:rPr>
          <w:rFonts w:ascii="TH SarabunPSK" w:eastAsia="Times New Roman" w:hAnsi="TH SarabunPSK" w:cs="TH SarabunPSK" w:hint="cs"/>
          <w:color w:val="000000"/>
          <w:sz w:val="32"/>
          <w:szCs w:val="32"/>
        </w:rPr>
        <w:t>HAp</w:t>
      </w:r>
      <w:proofErr w:type="spellEnd"/>
      <w:r w:rsidRPr="00946B23">
        <w:rPr>
          <w:rFonts w:ascii="TH SarabunPSK" w:eastAsia="Times New Roman" w:hAnsi="TH SarabunPSK" w:cs="TH SarabunPSK" w:hint="cs"/>
          <w:color w:val="000000"/>
          <w:sz w:val="32"/>
          <w:szCs w:val="32"/>
        </w:rPr>
        <w:t xml:space="preserve"> appeared as a white powder containing P–O, P–OH, and CO</w:t>
      </w:r>
      <w:r w:rsidR="00946B23" w:rsidRPr="00946B23">
        <w:rPr>
          <w:rFonts w:ascii="TH SarabunPSK" w:eastAsia="Times New Roman" w:hAnsi="TH SarabunPSK" w:cs="TH SarabunPSK" w:hint="cs"/>
          <w:color w:val="000000"/>
          <w:sz w:val="32"/>
          <w:szCs w:val="32"/>
          <w:vertAlign w:val="subscript"/>
        </w:rPr>
        <w:t>3</w:t>
      </w:r>
      <w:r w:rsidRPr="00946B23">
        <w:rPr>
          <w:rFonts w:ascii="TH SarabunPSK" w:eastAsia="Times New Roman" w:hAnsi="TH SarabunPSK" w:cs="TH SarabunPSK" w:hint="cs"/>
          <w:color w:val="000000"/>
          <w:sz w:val="32"/>
          <w:szCs w:val="32"/>
        </w:rPr>
        <w:t>²</w:t>
      </w:r>
      <w:r w:rsidRPr="00946B23">
        <w:rPr>
          <w:rFonts w:ascii="Cambria Math" w:eastAsia="Times New Roman" w:hAnsi="Cambria Math" w:cs="Cambria Math"/>
          <w:color w:val="000000"/>
          <w:sz w:val="32"/>
          <w:szCs w:val="32"/>
        </w:rPr>
        <w:t>⁻</w:t>
      </w:r>
      <w:r w:rsidRPr="00946B23">
        <w:rPr>
          <w:rFonts w:ascii="TH SarabunPSK" w:eastAsia="Times New Roman" w:hAnsi="TH SarabunPSK" w:cs="TH SarabunPSK" w:hint="cs"/>
          <w:color w:val="000000"/>
          <w:sz w:val="32"/>
          <w:szCs w:val="32"/>
        </w:rPr>
        <w:t xml:space="preserve"> bonds. The surface exhibited porosity, and iodine number varied significantly among formulations (p &lt; 0.01). </w:t>
      </w:r>
      <w:proofErr w:type="spellStart"/>
      <w:r w:rsidRPr="00946B23">
        <w:rPr>
          <w:rFonts w:ascii="TH SarabunPSK" w:eastAsia="Times New Roman" w:hAnsi="TH SarabunPSK" w:cs="TH SarabunPSK" w:hint="cs"/>
          <w:color w:val="000000"/>
          <w:sz w:val="32"/>
          <w:szCs w:val="32"/>
        </w:rPr>
        <w:t>HAp</w:t>
      </w:r>
      <w:proofErr w:type="spellEnd"/>
      <w:r w:rsidRPr="00946B23">
        <w:rPr>
          <w:rFonts w:ascii="TH SarabunPSK" w:eastAsia="Times New Roman" w:hAnsi="TH SarabunPSK" w:cs="TH SarabunPSK" w:hint="cs"/>
          <w:color w:val="000000"/>
          <w:sz w:val="32"/>
          <w:szCs w:val="32"/>
        </w:rPr>
        <w:t xml:space="preserve"> treated with 1M KOH for 5 hours showed the highest iodine number and encapsulated the most gentamicin. Pellets retained their shape for up to one day in fluid before disintegration. In simulated body fluid (SBF), Gentamicin release increased daily, with rapid release during days 1–4, while in distilled water, release increased quickly during days 1–3. The release rate and total amount decreased over time. The Higuchi model fit all formulations well (R² ≈ 1), and no significant differences in Gentamicin release were observed among pellets.</w:t>
      </w:r>
    </w:p>
    <w:p w14:paraId="1A74AAF8" w14:textId="77777777" w:rsidR="002D16EE" w:rsidRPr="00946B23" w:rsidRDefault="002D16EE" w:rsidP="00EE5339">
      <w:pPr>
        <w:widowControl w:val="0"/>
        <w:pBdr>
          <w:top w:val="nil"/>
          <w:left w:val="nil"/>
          <w:bottom w:val="nil"/>
          <w:right w:val="nil"/>
          <w:between w:val="nil"/>
        </w:pBdr>
        <w:spacing w:after="0" w:line="240" w:lineRule="auto"/>
        <w:ind w:right="237" w:firstLine="720"/>
        <w:jc w:val="both"/>
        <w:rPr>
          <w:rFonts w:ascii="TH SarabunPSK" w:eastAsia="Sarabun" w:hAnsi="TH SarabunPSK" w:cs="TH SarabunPSK"/>
          <w:bCs/>
          <w:color w:val="000000"/>
          <w:sz w:val="32"/>
          <w:szCs w:val="32"/>
          <w:cs/>
        </w:rPr>
      </w:pPr>
    </w:p>
    <w:p w14:paraId="78B6131E" w14:textId="4758D13F" w:rsidR="007E2726" w:rsidRPr="00946B23" w:rsidRDefault="007E2726" w:rsidP="002D16EE">
      <w:pPr>
        <w:widowControl w:val="0"/>
        <w:pBdr>
          <w:top w:val="nil"/>
          <w:left w:val="nil"/>
          <w:bottom w:val="nil"/>
          <w:right w:val="nil"/>
          <w:between w:val="nil"/>
        </w:pBdr>
        <w:spacing w:after="0" w:line="240" w:lineRule="auto"/>
        <w:ind w:right="1013" w:firstLine="8"/>
        <w:rPr>
          <w:rFonts w:ascii="TH SarabunPSK" w:eastAsia="Sarabun" w:hAnsi="TH SarabunPSK" w:cs="TH SarabunPSK"/>
          <w:color w:val="FF0000"/>
          <w:sz w:val="28"/>
          <w:szCs w:val="28"/>
        </w:rPr>
      </w:pPr>
      <w:r w:rsidRPr="00946B23">
        <w:rPr>
          <w:rFonts w:ascii="TH SarabunPSK" w:eastAsia="Sarabun" w:hAnsi="TH SarabunPSK" w:cs="TH SarabunPSK" w:hint="cs"/>
          <w:b/>
          <w:color w:val="000000"/>
          <w:sz w:val="28"/>
          <w:szCs w:val="28"/>
        </w:rPr>
        <w:t xml:space="preserve">Keywords: </w:t>
      </w:r>
      <w:r w:rsidR="002D7D57" w:rsidRPr="00946B23">
        <w:rPr>
          <w:rFonts w:ascii="TH SarabunPSK" w:hAnsi="TH SarabunPSK" w:cs="TH SarabunPSK" w:hint="cs"/>
          <w:color w:val="000000"/>
          <w:sz w:val="28"/>
          <w:szCs w:val="28"/>
        </w:rPr>
        <w:t>hydroxyapatite</w:t>
      </w:r>
      <w:r w:rsidR="002D7D57" w:rsidRPr="00946B23">
        <w:rPr>
          <w:rFonts w:ascii="TH SarabunPSK" w:hAnsi="TH SarabunPSK" w:cs="TH SarabunPSK" w:hint="cs"/>
          <w:color w:val="000000"/>
          <w:sz w:val="28"/>
          <w:szCs w:val="28"/>
          <w:lang w:val="en-US"/>
        </w:rPr>
        <w:t>,</w:t>
      </w:r>
      <w:r w:rsidR="002D7D57" w:rsidRPr="00946B23">
        <w:rPr>
          <w:rFonts w:ascii="TH SarabunPSK" w:hAnsi="TH SarabunPSK" w:cs="TH SarabunPSK" w:hint="cs"/>
          <w:color w:val="000000"/>
          <w:sz w:val="28"/>
          <w:szCs w:val="28"/>
        </w:rPr>
        <w:t xml:space="preserve"> tilapia scales, drug delivery system</w:t>
      </w:r>
    </w:p>
    <w:p w14:paraId="00000018" w14:textId="77777777" w:rsidR="00090BD3" w:rsidRPr="00946B23"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rPr>
      </w:pPr>
    </w:p>
    <w:sectPr w:rsidR="00090BD3" w:rsidRPr="00946B2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40A7A" w14:textId="77777777" w:rsidR="006408D8" w:rsidRDefault="006408D8">
      <w:pPr>
        <w:spacing w:after="0" w:line="240" w:lineRule="auto"/>
      </w:pPr>
      <w:r>
        <w:separator/>
      </w:r>
    </w:p>
  </w:endnote>
  <w:endnote w:type="continuationSeparator" w:id="0">
    <w:p w14:paraId="65A2A2C0" w14:textId="77777777" w:rsidR="006408D8" w:rsidRDefault="00640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D02E7" w14:textId="77777777" w:rsidR="006408D8" w:rsidRDefault="006408D8">
      <w:pPr>
        <w:spacing w:after="0" w:line="240" w:lineRule="auto"/>
      </w:pPr>
      <w:r>
        <w:separator/>
      </w:r>
    </w:p>
  </w:footnote>
  <w:footnote w:type="continuationSeparator" w:id="0">
    <w:p w14:paraId="062EA703" w14:textId="77777777" w:rsidR="006408D8" w:rsidRDefault="00640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9233E"/>
    <w:rsid w:val="00214FE0"/>
    <w:rsid w:val="00271A68"/>
    <w:rsid w:val="0028529E"/>
    <w:rsid w:val="002B3BB1"/>
    <w:rsid w:val="002D16EE"/>
    <w:rsid w:val="002D7D57"/>
    <w:rsid w:val="00324BE3"/>
    <w:rsid w:val="00334070"/>
    <w:rsid w:val="003D7EDD"/>
    <w:rsid w:val="0041249A"/>
    <w:rsid w:val="004250FB"/>
    <w:rsid w:val="004409B0"/>
    <w:rsid w:val="004A00C2"/>
    <w:rsid w:val="004F3E45"/>
    <w:rsid w:val="005D4CC6"/>
    <w:rsid w:val="00617968"/>
    <w:rsid w:val="006408D8"/>
    <w:rsid w:val="006528B0"/>
    <w:rsid w:val="0067504B"/>
    <w:rsid w:val="006C2205"/>
    <w:rsid w:val="007E2726"/>
    <w:rsid w:val="0086094A"/>
    <w:rsid w:val="00886C0F"/>
    <w:rsid w:val="008907AA"/>
    <w:rsid w:val="00945D73"/>
    <w:rsid w:val="00946B23"/>
    <w:rsid w:val="00973EA0"/>
    <w:rsid w:val="009B0DD0"/>
    <w:rsid w:val="009D6F84"/>
    <w:rsid w:val="009F4E03"/>
    <w:rsid w:val="00A0084F"/>
    <w:rsid w:val="00B0093C"/>
    <w:rsid w:val="00B06DDD"/>
    <w:rsid w:val="00B3529D"/>
    <w:rsid w:val="00B57C95"/>
    <w:rsid w:val="00C120CF"/>
    <w:rsid w:val="00D328B5"/>
    <w:rsid w:val="00D40598"/>
    <w:rsid w:val="00E0772C"/>
    <w:rsid w:val="00ED59BA"/>
    <w:rsid w:val="00EE5339"/>
    <w:rsid w:val="00EE61BA"/>
    <w:rsid w:val="00EF35E2"/>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wadee le</cp:lastModifiedBy>
  <cp:revision>19</cp:revision>
  <cp:lastPrinted>2025-06-18T14:24:00Z</cp:lastPrinted>
  <dcterms:created xsi:type="dcterms:W3CDTF">2026-07-13T14:41:00Z</dcterms:created>
  <dcterms:modified xsi:type="dcterms:W3CDTF">2026-07-13T17:48:00Z</dcterms:modified>
</cp:coreProperties>
</file>