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D1C60" w14:textId="77777777" w:rsidR="00D669AE" w:rsidRDefault="00000000">
      <w:pPr>
        <w:widowControl w:val="0"/>
        <w:spacing w:line="240" w:lineRule="auto"/>
        <w:ind w:left="470" w:right="253"/>
        <w:jc w:val="center"/>
        <w:rPr>
          <w:rFonts w:ascii="TH SarabunPSK" w:eastAsia="Sarabun" w:hAnsi="TH SarabunPSK" w:cs="TH SarabunPSK"/>
          <w:b/>
          <w:bCs/>
          <w:color w:val="000000"/>
          <w:sz w:val="32"/>
          <w:szCs w:val="32"/>
        </w:rPr>
      </w:pPr>
      <w:r>
        <w:rPr>
          <w:rFonts w:ascii="TH SarabunPSK" w:eastAsia="Sarabun" w:hAnsi="TH SarabunPSK" w:cs="TH SarabunPSK"/>
          <w:b/>
          <w:bCs/>
          <w:color w:val="000000"/>
          <w:sz w:val="32"/>
          <w:szCs w:val="32"/>
        </w:rPr>
        <w:t>Development and Characterization of Hydroxyapatite-Based Materials Derived from Waste Nile Tilapia Scales from Mekong River Cage-Farming Communities for a Targeted Drug Delivery System in Bone Infection Treatment</w:t>
      </w:r>
    </w:p>
    <w:p w14:paraId="701D1C61" w14:textId="77777777" w:rsidR="00D669AE" w:rsidRDefault="00D669AE">
      <w:pPr>
        <w:pStyle w:val="ad"/>
        <w:jc w:val="center"/>
        <w:rPr>
          <w:rFonts w:ascii="TH SarabunPSK" w:hAnsi="TH SarabunPSK" w:cs="TH SarabunPSK"/>
          <w:szCs w:val="22"/>
        </w:rPr>
      </w:pPr>
    </w:p>
    <w:p w14:paraId="701D1C62" w14:textId="77777777" w:rsidR="00D669AE" w:rsidRDefault="00000000">
      <w:pPr>
        <w:widowControl w:val="0"/>
        <w:spacing w:after="0" w:line="240" w:lineRule="auto"/>
        <w:ind w:left="215" w:right="-6"/>
        <w:jc w:val="center"/>
        <w:rPr>
          <w:rFonts w:ascii="TH SarabunPSK" w:eastAsia="Sarabun" w:hAnsi="TH SarabunPSK" w:cs="TH SarabunPSK"/>
          <w:b/>
          <w:bCs/>
          <w:color w:val="000000"/>
          <w:sz w:val="28"/>
          <w:vertAlign w:val="superscript"/>
        </w:rPr>
      </w:pPr>
      <w:r>
        <w:rPr>
          <w:rFonts w:ascii="TH SarabunPSK" w:hAnsi="TH SarabunPSK" w:cs="TH SarabunPSK"/>
          <w:b/>
          <w:bCs/>
          <w:sz w:val="32"/>
          <w:szCs w:val="32"/>
        </w:rPr>
        <w:t xml:space="preserve"> </w:t>
      </w:r>
      <w:bookmarkStart w:id="0" w:name="_Hlk203207343"/>
      <w:proofErr w:type="spellStart"/>
      <w:r>
        <w:rPr>
          <w:rFonts w:ascii="TH SarabunPSK" w:eastAsia="Times New Roman" w:hAnsi="TH SarabunPSK" w:cs="TH SarabunPSK" w:hint="cs"/>
          <w:b/>
          <w:bCs/>
          <w:sz w:val="28"/>
        </w:rPr>
        <w:t>Patcharapron</w:t>
      </w:r>
      <w:proofErr w:type="spellEnd"/>
      <w:r>
        <w:rPr>
          <w:rFonts w:ascii="TH SarabunPSK" w:eastAsia="Times New Roman" w:hAnsi="TH SarabunPSK" w:cs="TH SarabunPSK" w:hint="cs"/>
          <w:b/>
          <w:bCs/>
          <w:sz w:val="28"/>
        </w:rPr>
        <w:t xml:space="preserve"> Sansom</w:t>
      </w:r>
      <w:r>
        <w:rPr>
          <w:rFonts w:ascii="TH SarabunPSK" w:eastAsia="Times New Roman" w:hAnsi="TH SarabunPSK" w:cs="TH SarabunPSK" w:hint="cs"/>
          <w:b/>
          <w:bCs/>
          <w:sz w:val="28"/>
          <w:vertAlign w:val="superscript"/>
        </w:rPr>
        <w:t>1</w:t>
      </w:r>
      <w:r>
        <w:rPr>
          <w:rFonts w:ascii="TH SarabunPSK" w:eastAsia="Sarabun" w:hAnsi="TH SarabunPSK" w:cs="TH SarabunPSK" w:hint="cs"/>
          <w:b/>
          <w:bCs/>
          <w:color w:val="000000"/>
          <w:sz w:val="28"/>
        </w:rPr>
        <w:t xml:space="preserve">, Wadee </w:t>
      </w:r>
      <w:r>
        <w:rPr>
          <w:rFonts w:ascii="TH SarabunPSK" w:eastAsia="Times New Roman" w:hAnsi="TH SarabunPSK" w:cs="TH SarabunPSK" w:hint="cs"/>
          <w:b/>
          <w:bCs/>
          <w:sz w:val="28"/>
        </w:rPr>
        <w:t>Le</w:t>
      </w:r>
      <w:r>
        <w:rPr>
          <w:rFonts w:ascii="TH SarabunPSK" w:eastAsia="Sarabun" w:hAnsi="TH SarabunPSK" w:cs="TH SarabunPSK" w:hint="cs"/>
          <w:b/>
          <w:bCs/>
          <w:color w:val="000000"/>
          <w:sz w:val="28"/>
          <w:vertAlign w:val="superscript"/>
        </w:rPr>
        <w:t xml:space="preserve"> 1</w:t>
      </w:r>
      <w:bookmarkEnd w:id="0"/>
      <w:r>
        <w:rPr>
          <w:rFonts w:ascii="TH SarabunPSK" w:eastAsia="Sarabun" w:hAnsi="TH SarabunPSK" w:cs="TH SarabunPSK" w:hint="cs"/>
          <w:b/>
          <w:bCs/>
          <w:color w:val="000000"/>
          <w:sz w:val="28"/>
        </w:rPr>
        <w:t>*</w:t>
      </w:r>
      <w:r>
        <w:rPr>
          <w:rFonts w:ascii="TH SarabunPSK" w:eastAsia="Sarabun" w:hAnsi="TH SarabunPSK" w:cs="TH SarabunPSK" w:hint="cs"/>
          <w:b/>
          <w:bCs/>
          <w:color w:val="000000"/>
          <w:sz w:val="28"/>
          <w:vertAlign w:val="superscript"/>
        </w:rPr>
        <w:t xml:space="preserve"> </w:t>
      </w:r>
    </w:p>
    <w:p w14:paraId="701D1C63" w14:textId="77777777" w:rsidR="00D669AE" w:rsidRDefault="00000000">
      <w:pPr>
        <w:spacing w:after="0" w:line="240" w:lineRule="auto"/>
        <w:jc w:val="center"/>
        <w:rPr>
          <w:rFonts w:ascii="TH SarabunPSK" w:hAnsi="TH SarabunPSK" w:cs="TH SarabunPSK"/>
          <w:sz w:val="28"/>
          <w:cs/>
        </w:rPr>
      </w:pPr>
      <w:r>
        <w:rPr>
          <w:rFonts w:ascii="TH SarabunPSK" w:hAnsi="TH SarabunPSK" w:cs="TH SarabunPSK"/>
          <w:b/>
          <w:bCs/>
          <w:sz w:val="32"/>
          <w:szCs w:val="32"/>
        </w:rPr>
        <w:t xml:space="preserve"> </w:t>
      </w:r>
      <w:proofErr w:type="spellStart"/>
      <w:r>
        <w:rPr>
          <w:rFonts w:ascii="TH SarabunPSK" w:hAnsi="TH SarabunPSK" w:cs="TH SarabunPSK"/>
          <w:b/>
          <w:bCs/>
          <w:sz w:val="28"/>
        </w:rPr>
        <w:t>Thanaphat</w:t>
      </w:r>
      <w:proofErr w:type="spellEnd"/>
      <w:r>
        <w:rPr>
          <w:rFonts w:ascii="TH SarabunPSK" w:hAnsi="TH SarabunPSK" w:cs="TH SarabunPSK"/>
          <w:b/>
          <w:bCs/>
          <w:sz w:val="28"/>
        </w:rPr>
        <w:t xml:space="preserve"> Tabthais</w:t>
      </w:r>
      <w:r>
        <w:rPr>
          <w:rFonts w:ascii="TH SarabunPSK" w:eastAsia="Times New Roman" w:hAnsi="TH SarabunPSK" w:cs="TH SarabunPSK" w:hint="cs"/>
          <w:b/>
          <w:bCs/>
          <w:sz w:val="28"/>
        </w:rPr>
        <w:t>o</w:t>
      </w:r>
      <w:r>
        <w:rPr>
          <w:rFonts w:ascii="TH SarabunPSK" w:eastAsia="Times New Roman" w:hAnsi="TH SarabunPSK" w:cs="TH SarabunPSK"/>
          <w:b/>
          <w:bCs/>
          <w:sz w:val="28"/>
        </w:rPr>
        <w:t>ng</w:t>
      </w:r>
      <w:r>
        <w:rPr>
          <w:rFonts w:ascii="TH SarabunPSK" w:eastAsia="Times New Roman" w:hAnsi="TH SarabunPSK" w:cs="TH SarabunPSK" w:hint="cs"/>
          <w:b/>
          <w:bCs/>
          <w:sz w:val="28"/>
          <w:vertAlign w:val="superscript"/>
        </w:rPr>
        <w:t>1</w:t>
      </w:r>
      <w:r>
        <w:rPr>
          <w:rFonts w:ascii="TH SarabunPSK" w:eastAsia="Sarabun" w:hAnsi="TH SarabunPSK" w:cs="TH SarabunPSK" w:hint="cs"/>
          <w:b/>
          <w:bCs/>
          <w:color w:val="000000"/>
          <w:sz w:val="28"/>
        </w:rPr>
        <w:t>,</w:t>
      </w:r>
      <w:r>
        <w:rPr>
          <w:rFonts w:ascii="TH SarabunPSK" w:eastAsia="Sarabun" w:hAnsi="TH SarabunPSK" w:cs="TH SarabunPSK"/>
          <w:b/>
          <w:bCs/>
          <w:color w:val="000000"/>
          <w:sz w:val="28"/>
        </w:rPr>
        <w:t xml:space="preserve"> </w:t>
      </w:r>
      <w:proofErr w:type="spellStart"/>
      <w:r>
        <w:rPr>
          <w:rFonts w:ascii="TH SarabunPSK" w:eastAsia="Sarabun" w:hAnsi="TH SarabunPSK" w:cs="TH SarabunPSK"/>
          <w:b/>
          <w:bCs/>
          <w:color w:val="000000"/>
          <w:sz w:val="28"/>
        </w:rPr>
        <w:t>Wichuda</w:t>
      </w:r>
      <w:proofErr w:type="spellEnd"/>
      <w:r>
        <w:rPr>
          <w:rFonts w:ascii="TH SarabunPSK" w:eastAsia="Sarabun" w:hAnsi="TH SarabunPSK" w:cs="TH SarabunPSK"/>
          <w:b/>
          <w:bCs/>
          <w:color w:val="000000"/>
          <w:sz w:val="28"/>
        </w:rPr>
        <w:t xml:space="preserve"> Sanpakdee</w:t>
      </w:r>
      <w:r>
        <w:rPr>
          <w:rFonts w:ascii="TH SarabunPSK" w:eastAsia="Times New Roman" w:hAnsi="TH SarabunPSK" w:cs="TH SarabunPSK" w:hint="cs"/>
          <w:b/>
          <w:bCs/>
          <w:sz w:val="28"/>
          <w:vertAlign w:val="superscript"/>
        </w:rPr>
        <w:t>1</w:t>
      </w:r>
    </w:p>
    <w:p w14:paraId="701D1C64" w14:textId="77777777" w:rsidR="00D669AE" w:rsidRDefault="00000000">
      <w:pPr>
        <w:spacing w:after="0" w:line="240" w:lineRule="auto"/>
        <w:jc w:val="center"/>
        <w:rPr>
          <w:rFonts w:ascii="TH SarabunPSK" w:hAnsi="TH SarabunPSK" w:cs="TH SarabunPSK"/>
          <w:i/>
          <w:iCs/>
          <w:sz w:val="28"/>
          <w:cs/>
        </w:rPr>
      </w:pPr>
      <w:r>
        <w:rPr>
          <w:rFonts w:ascii="TH SarabunPSK" w:hAnsi="TH SarabunPSK" w:cs="TH SarabunPSK"/>
          <w:i/>
          <w:iCs/>
          <w:sz w:val="24"/>
          <w:szCs w:val="24"/>
          <w:vertAlign w:val="superscript"/>
        </w:rPr>
        <w:t>1</w:t>
      </w:r>
      <w:r>
        <w:rPr>
          <w:rFonts w:ascii="TH SarabunPSK" w:eastAsia="Sarabun" w:hAnsi="TH SarabunPSK" w:cs="TH SarabunPSK" w:hint="cs"/>
          <w:i/>
          <w:iCs/>
          <w:color w:val="000000"/>
          <w:sz w:val="24"/>
          <w:szCs w:val="24"/>
          <w:vertAlign w:val="superscript"/>
        </w:rPr>
        <w:t>1</w:t>
      </w:r>
      <w:r>
        <w:rPr>
          <w:rFonts w:ascii="TH SarabunPSK" w:eastAsia="Sarabun" w:hAnsi="TH SarabunPSK" w:cs="TH SarabunPSK" w:hint="cs"/>
          <w:i/>
          <w:color w:val="000000"/>
          <w:sz w:val="24"/>
          <w:szCs w:val="24"/>
        </w:rPr>
        <w:t xml:space="preserve">Princess Chulabhorn Science High School </w:t>
      </w:r>
      <w:r>
        <w:rPr>
          <w:rFonts w:ascii="TH SarabunPSK" w:eastAsia="Times New Roman" w:hAnsi="TH SarabunPSK" w:cs="TH SarabunPSK" w:hint="cs"/>
          <w:i/>
          <w:sz w:val="24"/>
          <w:szCs w:val="24"/>
        </w:rPr>
        <w:t>Mukdahan</w:t>
      </w:r>
      <w:r>
        <w:rPr>
          <w:rFonts w:ascii="TH SarabunPSK" w:eastAsia="Times New Roman" w:hAnsi="TH SarabunPSK" w:cs="TH SarabunPSK"/>
          <w:i/>
          <w:sz w:val="24"/>
          <w:szCs w:val="24"/>
        </w:rPr>
        <w:t xml:space="preserve"> No.281, Village No. </w:t>
      </w:r>
      <w:proofErr w:type="gramStart"/>
      <w:r>
        <w:rPr>
          <w:rFonts w:ascii="TH SarabunPSK" w:eastAsia="Times New Roman" w:hAnsi="TH SarabunPSK" w:cs="TH SarabunPSK"/>
          <w:i/>
          <w:sz w:val="24"/>
          <w:szCs w:val="24"/>
        </w:rPr>
        <w:t>6</w:t>
      </w:r>
      <w:r>
        <w:rPr>
          <w:rFonts w:ascii="TH SarabunPSK" w:eastAsia="Times New Roman" w:hAnsi="TH SarabunPSK" w:cs="TH SarabunPSK" w:hint="cs"/>
          <w:i/>
          <w:sz w:val="24"/>
          <w:szCs w:val="24"/>
        </w:rPr>
        <w:t xml:space="preserve">, </w:t>
      </w:r>
      <w:r>
        <w:rPr>
          <w:rFonts w:ascii="TH SarabunPSK" w:eastAsia="Times New Roman" w:hAnsi="TH SarabunPSK" w:cs="TH SarabunPSK" w:hint="cs"/>
          <w:i/>
          <w:sz w:val="24"/>
          <w:szCs w:val="24"/>
          <w:cs/>
        </w:rPr>
        <w:t xml:space="preserve"> </w:t>
      </w:r>
      <w:r>
        <w:rPr>
          <w:rFonts w:ascii="TH SarabunPSK" w:eastAsia="Times New Roman" w:hAnsi="TH SarabunPSK" w:cs="TH SarabunPSK" w:hint="cs"/>
          <w:i/>
          <w:sz w:val="24"/>
          <w:szCs w:val="24"/>
        </w:rPr>
        <w:t>Bang</w:t>
      </w:r>
      <w:proofErr w:type="gramEnd"/>
      <w:r>
        <w:rPr>
          <w:rFonts w:ascii="TH SarabunPSK" w:eastAsia="Times New Roman" w:hAnsi="TH SarabunPSK" w:cs="TH SarabunPSK" w:hint="cs"/>
          <w:i/>
          <w:sz w:val="24"/>
          <w:szCs w:val="24"/>
        </w:rPr>
        <w:t xml:space="preserve"> Sai Yai, Mueang Mukdahan, Mukdahan</w:t>
      </w:r>
      <w:r>
        <w:rPr>
          <w:rFonts w:ascii="TH SarabunPSK" w:eastAsia="Sarabun" w:hAnsi="TH SarabunPSK" w:cs="TH SarabunPSK" w:hint="cs"/>
          <w:i/>
          <w:color w:val="000000"/>
          <w:sz w:val="24"/>
          <w:szCs w:val="24"/>
        </w:rPr>
        <w:t>.</w:t>
      </w:r>
      <w:r>
        <w:rPr>
          <w:rFonts w:ascii="TH SarabunPSK" w:eastAsia="Times New Roman" w:hAnsi="TH SarabunPSK" w:cs="TH SarabunPSK" w:hint="cs"/>
          <w:i/>
          <w:sz w:val="24"/>
          <w:szCs w:val="24"/>
        </w:rPr>
        <w:t xml:space="preserve"> 49000 </w:t>
      </w:r>
      <w:r>
        <w:rPr>
          <w:rFonts w:ascii="TH SarabunPSK" w:eastAsia="Sarabun" w:hAnsi="TH SarabunPSK" w:cs="TH SarabunPSK" w:hint="cs"/>
          <w:i/>
          <w:color w:val="000000"/>
          <w:sz w:val="24"/>
          <w:szCs w:val="24"/>
        </w:rPr>
        <w:t>Thailand</w:t>
      </w:r>
    </w:p>
    <w:p w14:paraId="701D1C65" w14:textId="77777777" w:rsidR="00D669AE" w:rsidRDefault="00000000">
      <w:pPr>
        <w:widowControl w:val="0"/>
        <w:spacing w:after="0" w:line="240" w:lineRule="auto"/>
        <w:ind w:right="95"/>
        <w:jc w:val="center"/>
        <w:rPr>
          <w:rFonts w:ascii="TH SarabunPSK" w:eastAsia="Sarabun" w:hAnsi="TH SarabunPSK" w:cs="TH SarabunPSK"/>
          <w:i/>
          <w:color w:val="000000"/>
          <w:sz w:val="24"/>
          <w:szCs w:val="24"/>
        </w:rPr>
      </w:pPr>
      <w:r>
        <w:rPr>
          <w:rFonts w:ascii="TH SarabunPSK" w:hAnsi="TH SarabunPSK" w:cs="TH SarabunPSK"/>
          <w:i/>
          <w:iCs/>
          <w:sz w:val="24"/>
          <w:szCs w:val="24"/>
        </w:rPr>
        <w:t>*e-mail:</w:t>
      </w:r>
      <w:r>
        <w:rPr>
          <w:rFonts w:ascii="TH SarabunPSK" w:eastAsia="Sarabun" w:hAnsi="TH SarabunPSK" w:cs="TH SarabunPSK" w:hint="cs"/>
          <w:i/>
          <w:color w:val="000000"/>
          <w:sz w:val="24"/>
          <w:szCs w:val="24"/>
        </w:rPr>
        <w:t xml:space="preserve"> 05944@pccm.ac.th</w:t>
      </w:r>
    </w:p>
    <w:p w14:paraId="701D1C66" w14:textId="77777777" w:rsidR="00D669AE" w:rsidRDefault="00D669AE">
      <w:pPr>
        <w:pStyle w:val="ad"/>
        <w:jc w:val="center"/>
        <w:rPr>
          <w:rFonts w:ascii="TH SarabunPSK" w:hAnsi="TH SarabunPSK" w:cs="TH SarabunPSK"/>
        </w:rPr>
      </w:pPr>
    </w:p>
    <w:p w14:paraId="701D1C67" w14:textId="77777777" w:rsidR="00D669AE" w:rsidRDefault="00000000">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701D1C68" w14:textId="77777777" w:rsidR="00D669AE" w:rsidRDefault="00000000">
      <w:pPr>
        <w:ind w:firstLine="720"/>
        <w:jc w:val="thaiDistribute"/>
        <w:rPr>
          <w:rFonts w:ascii="TH SarabunPSK" w:hAnsi="TH SarabunPSK" w:cs="TH SarabunPSK"/>
          <w:color w:val="000000"/>
          <w:sz w:val="28"/>
        </w:rPr>
      </w:pPr>
      <w:r>
        <w:rPr>
          <w:rFonts w:ascii="TH SarabunPSK" w:hAnsi="TH SarabunPSK" w:cs="TH SarabunPSK"/>
          <w:sz w:val="28"/>
        </w:rPr>
        <w:tab/>
      </w:r>
      <w:r>
        <w:rPr>
          <w:rFonts w:ascii="TH SarabunPSK" w:hAnsi="TH SarabunPSK" w:cs="TH SarabunPSK" w:hint="cs"/>
          <w:color w:val="000000"/>
          <w:sz w:val="28"/>
        </w:rPr>
        <w:t>This study focuses on the extraction and characterization of hydroxyapatite (</w:t>
      </w:r>
      <w:proofErr w:type="spellStart"/>
      <w:r>
        <w:rPr>
          <w:rFonts w:ascii="TH SarabunPSK" w:hAnsi="TH SarabunPSK" w:cs="TH SarabunPSK" w:hint="cs"/>
          <w:color w:val="000000"/>
          <w:sz w:val="28"/>
        </w:rPr>
        <w:t>HAp</w:t>
      </w:r>
      <w:proofErr w:type="spellEnd"/>
      <w:r>
        <w:rPr>
          <w:rFonts w:ascii="TH SarabunPSK" w:hAnsi="TH SarabunPSK" w:cs="TH SarabunPSK" w:hint="cs"/>
          <w:color w:val="000000"/>
          <w:sz w:val="28"/>
        </w:rPr>
        <w:t>) derived from Nile tilapia scales to evaluate its quality and suitability as a drug delivery material for bone infection treatment. The fish scales were cleaned, soaked in NaOH solution, and calcined at 1,000 °C</w:t>
      </w:r>
      <w:r>
        <w:rPr>
          <w:rFonts w:ascii="TH SarabunPSK" w:hAnsi="TH SarabunPSK" w:cs="TH SarabunPSK" w:hint="cs"/>
          <w:color w:val="000000"/>
          <w:sz w:val="28"/>
          <w:cs/>
        </w:rPr>
        <w:t xml:space="preserve"> </w:t>
      </w:r>
      <w:r>
        <w:rPr>
          <w:rFonts w:ascii="TH SarabunPSK" w:hAnsi="TH SarabunPSK" w:cs="TH SarabunPSK" w:hint="cs"/>
          <w:color w:val="000000"/>
          <w:sz w:val="28"/>
        </w:rPr>
        <w:t xml:space="preserve">for 3 h. Five </w:t>
      </w:r>
      <w:proofErr w:type="spellStart"/>
      <w:r>
        <w:rPr>
          <w:rFonts w:ascii="TH SarabunPSK" w:hAnsi="TH SarabunPSK" w:cs="TH SarabunPSK" w:hint="cs"/>
          <w:color w:val="000000"/>
          <w:sz w:val="28"/>
        </w:rPr>
        <w:t>HAp</w:t>
      </w:r>
      <w:proofErr w:type="spellEnd"/>
      <w:r>
        <w:rPr>
          <w:rFonts w:ascii="TH SarabunPSK" w:hAnsi="TH SarabunPSK" w:cs="TH SarabunPSK" w:hint="cs"/>
          <w:color w:val="000000"/>
          <w:sz w:val="28"/>
        </w:rPr>
        <w:t xml:space="preserve"> formulations were prepared, four of which were further treated with KOH at concentrations of 1</w:t>
      </w:r>
      <w:r>
        <w:rPr>
          <w:rFonts w:ascii="TH SarabunPSK" w:hAnsi="TH SarabunPSK" w:cs="TH SarabunPSK" w:hint="cs"/>
          <w:color w:val="000000"/>
          <w:sz w:val="28"/>
          <w:cs/>
        </w:rPr>
        <w:t xml:space="preserve"> </w:t>
      </w:r>
      <w:r>
        <w:rPr>
          <w:rFonts w:ascii="TH SarabunPSK" w:hAnsi="TH SarabunPSK" w:cs="TH SarabunPSK" w:hint="cs"/>
          <w:color w:val="000000"/>
          <w:sz w:val="28"/>
        </w:rPr>
        <w:t>M and 3</w:t>
      </w:r>
      <w:r>
        <w:rPr>
          <w:rFonts w:ascii="TH SarabunPSK" w:hAnsi="TH SarabunPSK" w:cs="TH SarabunPSK" w:hint="cs"/>
          <w:color w:val="000000"/>
          <w:sz w:val="28"/>
          <w:cs/>
        </w:rPr>
        <w:t xml:space="preserve"> </w:t>
      </w:r>
      <w:r>
        <w:rPr>
          <w:rFonts w:ascii="TH SarabunPSK" w:hAnsi="TH SarabunPSK" w:cs="TH SarabunPSK" w:hint="cs"/>
          <w:color w:val="000000"/>
          <w:sz w:val="28"/>
        </w:rPr>
        <w:t xml:space="preserve">M for 1 and 5 hours. Chemical structure was analyzed using Fourier-transform infrared spectroscopy (FT-IR), porosity was determined by iodine number via iodometry, and surface characteristics were examined by field-emission scanning electron microscopy (FESEM). Gentamicin was used as the model antibiotic, and its release from </w:t>
      </w:r>
      <w:proofErr w:type="spellStart"/>
      <w:r>
        <w:rPr>
          <w:rFonts w:ascii="TH SarabunPSK" w:hAnsi="TH SarabunPSK" w:cs="TH SarabunPSK" w:hint="cs"/>
          <w:color w:val="000000"/>
          <w:sz w:val="28"/>
        </w:rPr>
        <w:t>HAp</w:t>
      </w:r>
      <w:proofErr w:type="spellEnd"/>
      <w:r>
        <w:rPr>
          <w:rFonts w:ascii="TH SarabunPSK" w:hAnsi="TH SarabunPSK" w:cs="TH SarabunPSK" w:hint="cs"/>
          <w:color w:val="000000"/>
          <w:sz w:val="28"/>
        </w:rPr>
        <w:t xml:space="preserve"> pellets was measured using spectrophotometry. Statistical analysis was performed using one-way ANOVA followed by Tukey’s HSD post hoc test (p &lt; 0.01). </w:t>
      </w:r>
      <w:r>
        <w:rPr>
          <w:rFonts w:ascii="TH SarabunPSK" w:eastAsia="Times New Roman" w:hAnsi="TH SarabunPSK" w:cs="TH SarabunPSK" w:hint="cs"/>
          <w:color w:val="000000"/>
          <w:sz w:val="28"/>
        </w:rPr>
        <w:t xml:space="preserve">The </w:t>
      </w:r>
      <w:proofErr w:type="spellStart"/>
      <w:r>
        <w:rPr>
          <w:rFonts w:ascii="TH SarabunPSK" w:eastAsia="Times New Roman" w:hAnsi="TH SarabunPSK" w:cs="TH SarabunPSK" w:hint="cs"/>
          <w:color w:val="000000"/>
          <w:sz w:val="28"/>
        </w:rPr>
        <w:t>HAp</w:t>
      </w:r>
      <w:proofErr w:type="spellEnd"/>
      <w:r>
        <w:rPr>
          <w:rFonts w:ascii="TH SarabunPSK" w:eastAsia="Times New Roman" w:hAnsi="TH SarabunPSK" w:cs="TH SarabunPSK" w:hint="cs"/>
          <w:color w:val="000000"/>
          <w:sz w:val="28"/>
        </w:rPr>
        <w:t xml:space="preserve"> appeared as a white powder containing P–O, P–OH, and CO</w:t>
      </w:r>
      <w:r>
        <w:rPr>
          <w:rFonts w:ascii="TH SarabunPSK" w:eastAsia="Times New Roman" w:hAnsi="TH SarabunPSK" w:cs="TH SarabunPSK" w:hint="cs"/>
          <w:color w:val="000000"/>
          <w:sz w:val="28"/>
          <w:vertAlign w:val="subscript"/>
        </w:rPr>
        <w:t>3</w:t>
      </w:r>
      <w:r>
        <w:rPr>
          <w:rFonts w:ascii="TH SarabunPSK" w:eastAsia="Times New Roman" w:hAnsi="TH SarabunPSK" w:cs="TH SarabunPSK" w:hint="cs"/>
          <w:color w:val="000000"/>
          <w:sz w:val="28"/>
        </w:rPr>
        <w:t>²</w:t>
      </w:r>
      <w:r>
        <w:rPr>
          <w:rFonts w:ascii="Cambria Math" w:eastAsia="Times New Roman" w:hAnsi="Cambria Math" w:cs="Cambria Math"/>
          <w:color w:val="000000"/>
          <w:sz w:val="28"/>
        </w:rPr>
        <w:t>⁻</w:t>
      </w:r>
      <w:r>
        <w:rPr>
          <w:rFonts w:ascii="TH SarabunPSK" w:eastAsia="Times New Roman" w:hAnsi="TH SarabunPSK" w:cs="TH SarabunPSK" w:hint="cs"/>
          <w:color w:val="000000"/>
          <w:sz w:val="28"/>
        </w:rPr>
        <w:t xml:space="preserve"> bonds. The surface exhibited porosity, and iodine number varied significantly among formulations (p &lt; 0.01). </w:t>
      </w:r>
      <w:proofErr w:type="spellStart"/>
      <w:r>
        <w:rPr>
          <w:rFonts w:ascii="TH SarabunPSK" w:eastAsia="Times New Roman" w:hAnsi="TH SarabunPSK" w:cs="TH SarabunPSK" w:hint="cs"/>
          <w:color w:val="000000"/>
          <w:sz w:val="28"/>
        </w:rPr>
        <w:t>HAp</w:t>
      </w:r>
      <w:proofErr w:type="spellEnd"/>
      <w:r>
        <w:rPr>
          <w:rFonts w:ascii="TH SarabunPSK" w:eastAsia="Times New Roman" w:hAnsi="TH SarabunPSK" w:cs="TH SarabunPSK" w:hint="cs"/>
          <w:color w:val="000000"/>
          <w:sz w:val="28"/>
        </w:rPr>
        <w:t xml:space="preserve"> treated with 1M KOH for 5 hours showed the highest iodine number and encapsulated the most gentamicin. Pellets retained their shape for up to one day in fluid before disintegration. In simulated body fluid (SBF), Gentamicin release increased daily, with rapid release during days 1–4, while in distilled water, release increased quickly during days 1–3. The release rate and total amount decreased over time. The Higuchi model fit all formulations well (R² ≈ 1), and no significant differences in Gentamicin release were observed among pellets.</w:t>
      </w:r>
    </w:p>
    <w:p w14:paraId="701D1C69" w14:textId="77777777" w:rsidR="00D669AE" w:rsidRDefault="00000000">
      <w:pPr>
        <w:widowControl w:val="0"/>
        <w:spacing w:after="0" w:line="240" w:lineRule="auto"/>
        <w:ind w:right="1013" w:firstLine="8"/>
        <w:rPr>
          <w:rFonts w:ascii="TH SarabunPSK" w:eastAsia="Sarabun" w:hAnsi="TH SarabunPSK" w:cs="TH SarabunPSK"/>
          <w:color w:val="FF0000"/>
          <w:sz w:val="28"/>
        </w:rPr>
      </w:pPr>
      <w:proofErr w:type="gramStart"/>
      <w:r>
        <w:rPr>
          <w:rFonts w:ascii="TH SarabunPSK" w:hAnsi="TH SarabunPSK" w:cs="TH SarabunPSK"/>
          <w:sz w:val="28"/>
        </w:rPr>
        <w:t>keywords :</w:t>
      </w:r>
      <w:proofErr w:type="gramEnd"/>
      <w:r>
        <w:rPr>
          <w:rFonts w:ascii="TH SarabunPSK" w:hAnsi="TH SarabunPSK" w:cs="TH SarabunPSK" w:hint="cs"/>
          <w:sz w:val="28"/>
          <w:cs/>
        </w:rPr>
        <w:t xml:space="preserve"> </w:t>
      </w:r>
      <w:r>
        <w:rPr>
          <w:rFonts w:ascii="TH SarabunPSK" w:hAnsi="TH SarabunPSK" w:cs="TH SarabunPSK"/>
          <w:sz w:val="28"/>
        </w:rPr>
        <w:t xml:space="preserve"> </w:t>
      </w:r>
      <w:r>
        <w:rPr>
          <w:rFonts w:ascii="TH SarabunPSK" w:hAnsi="TH SarabunPSK" w:cs="TH SarabunPSK" w:hint="cs"/>
          <w:color w:val="000000"/>
          <w:sz w:val="28"/>
        </w:rPr>
        <w:t>hydroxyapatite, tilapia scales, drug delivery system</w:t>
      </w:r>
    </w:p>
    <w:p w14:paraId="701D1C6A" w14:textId="77777777" w:rsidR="00D669AE" w:rsidRDefault="00D669AE">
      <w:pPr>
        <w:spacing w:after="0" w:line="240" w:lineRule="auto"/>
        <w:rPr>
          <w:rFonts w:ascii="TH SarabunPSK" w:hAnsi="TH SarabunPSK" w:cs="TH SarabunPSK"/>
          <w:b/>
          <w:bCs/>
          <w:sz w:val="32"/>
          <w:szCs w:val="32"/>
        </w:rPr>
      </w:pPr>
    </w:p>
    <w:p w14:paraId="701D1C6B" w14:textId="77777777" w:rsidR="00D669AE" w:rsidRDefault="00D669AE">
      <w:pPr>
        <w:spacing w:after="0" w:line="240" w:lineRule="auto"/>
        <w:rPr>
          <w:rFonts w:ascii="TH SarabunPSK" w:hAnsi="TH SarabunPSK" w:cs="TH SarabunPSK"/>
          <w:szCs w:val="22"/>
          <w:cs/>
        </w:rPr>
        <w:sectPr w:rsidR="00D669AE">
          <w:headerReference w:type="default" r:id="rId6"/>
          <w:footerReference w:type="even" r:id="rId7"/>
          <w:footerReference w:type="default" r:id="rId8"/>
          <w:pgSz w:w="11906" w:h="16838"/>
          <w:pgMar w:top="1800" w:right="1440" w:bottom="1440" w:left="1800" w:header="720" w:footer="720" w:gutter="0"/>
          <w:cols w:space="720"/>
          <w:docGrid w:linePitch="360"/>
        </w:sectPr>
      </w:pPr>
    </w:p>
    <w:p w14:paraId="701D1C6C" w14:textId="77777777" w:rsidR="00D669AE" w:rsidRDefault="00000000">
      <w:pPr>
        <w:spacing w:after="0" w:line="240" w:lineRule="auto"/>
        <w:rPr>
          <w:rFonts w:ascii="TH SarabunPSK" w:hAnsi="TH SarabunPSK" w:cs="TH SarabunPSK"/>
          <w:sz w:val="28"/>
        </w:rPr>
      </w:pPr>
      <w:r>
        <w:rPr>
          <w:rFonts w:ascii="TH SarabunPSK" w:hAnsi="TH SarabunPSK" w:cs="TH SarabunPSK"/>
          <w:b/>
          <w:bCs/>
          <w:sz w:val="28"/>
        </w:rPr>
        <w:t>Introduction</w:t>
      </w:r>
    </w:p>
    <w:p w14:paraId="701D1C6D"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 xml:space="preserve">Osteomyelitis, an infection and inflammation of bone tissue, is a common </w:t>
      </w:r>
      <w:r>
        <w:rPr>
          <w:rFonts w:ascii="TH SarabunPSK" w:hAnsi="TH SarabunPSK" w:cs="TH SarabunPSK" w:hint="cs"/>
          <w:sz w:val="28"/>
        </w:rPr>
        <w:t xml:space="preserve">medical condition that may lead to loss of organ function or even limb amputation if not treated promptly. A commonly used treatment </w:t>
      </w:r>
      <w:r>
        <w:rPr>
          <w:rFonts w:ascii="TH SarabunPSK" w:hAnsi="TH SarabunPSK" w:cs="TH SarabunPSK" w:hint="cs"/>
          <w:sz w:val="28"/>
        </w:rPr>
        <w:lastRenderedPageBreak/>
        <w:t xml:space="preserve">for this condition is the administration of antibiotics via intravenous injection, which often </w:t>
      </w:r>
      <w:proofErr w:type="gramStart"/>
      <w:r>
        <w:rPr>
          <w:rFonts w:ascii="TH SarabunPSK" w:hAnsi="TH SarabunPSK" w:cs="TH SarabunPSK" w:hint="cs"/>
          <w:sz w:val="28"/>
        </w:rPr>
        <w:t>requires</w:t>
      </w:r>
      <w:proofErr w:type="gramEnd"/>
      <w:r>
        <w:rPr>
          <w:rFonts w:ascii="TH SarabunPSK" w:hAnsi="TH SarabunPSK" w:cs="TH SarabunPSK" w:hint="cs"/>
          <w:sz w:val="28"/>
        </w:rPr>
        <w:t xml:space="preserve"> high doses to ensure adequate drug penetration into the infected area. However, high-dose antibiotic therapy may cause undesirabl</w:t>
      </w:r>
      <w:r>
        <w:rPr>
          <w:rFonts w:ascii="TH SarabunPSK" w:hAnsi="TH SarabunPSK" w:cs="TH SarabunPSK"/>
          <w:sz w:val="28"/>
        </w:rPr>
        <w:t xml:space="preserve">e </w:t>
      </w:r>
      <w:r>
        <w:rPr>
          <w:rFonts w:ascii="TH SarabunPSK" w:hAnsi="TH SarabunPSK" w:cs="TH SarabunPSK" w:hint="cs"/>
          <w:sz w:val="28"/>
        </w:rPr>
        <w:t>side effects in the body (</w:t>
      </w:r>
      <w:proofErr w:type="spellStart"/>
      <w:r>
        <w:rPr>
          <w:rFonts w:ascii="TH SarabunPSK" w:hAnsi="TH SarabunPSK" w:cs="TH SarabunPSK" w:hint="cs"/>
          <w:sz w:val="28"/>
        </w:rPr>
        <w:t>Phuttichat</w:t>
      </w:r>
      <w:proofErr w:type="spellEnd"/>
      <w:r>
        <w:rPr>
          <w:rFonts w:ascii="TH SarabunPSK" w:hAnsi="TH SarabunPSK" w:cs="TH SarabunPSK" w:hint="cs"/>
          <w:sz w:val="28"/>
        </w:rPr>
        <w:t xml:space="preserve"> </w:t>
      </w:r>
      <w:proofErr w:type="spellStart"/>
      <w:r>
        <w:rPr>
          <w:rFonts w:ascii="TH SarabunPSK" w:hAnsi="TH SarabunPSK" w:cs="TH SarabunPSK" w:hint="cs"/>
          <w:sz w:val="28"/>
        </w:rPr>
        <w:t>Khantee</w:t>
      </w:r>
      <w:proofErr w:type="spellEnd"/>
      <w:r>
        <w:rPr>
          <w:rFonts w:ascii="TH SarabunPSK" w:hAnsi="TH SarabunPSK" w:cs="TH SarabunPSK" w:hint="cs"/>
          <w:sz w:val="28"/>
        </w:rPr>
        <w:t xml:space="preserve"> &amp; </w:t>
      </w:r>
      <w:proofErr w:type="spellStart"/>
      <w:r>
        <w:rPr>
          <w:rFonts w:ascii="TH SarabunPSK" w:hAnsi="TH SarabunPSK" w:cs="TH SarabunPSK" w:hint="cs"/>
          <w:sz w:val="28"/>
        </w:rPr>
        <w:t>Orsri</w:t>
      </w:r>
      <w:proofErr w:type="spellEnd"/>
      <w:r>
        <w:rPr>
          <w:rFonts w:ascii="TH SarabunPSK" w:hAnsi="TH SarabunPSK" w:cs="TH SarabunPSK" w:hint="cs"/>
          <w:sz w:val="28"/>
        </w:rPr>
        <w:t xml:space="preserve"> </w:t>
      </w:r>
      <w:proofErr w:type="spellStart"/>
      <w:r>
        <w:rPr>
          <w:rFonts w:ascii="TH SarabunPSK" w:hAnsi="TH SarabunPSK" w:cs="TH SarabunPSK" w:hint="cs"/>
          <w:sz w:val="28"/>
        </w:rPr>
        <w:t>Wittawatmongkol</w:t>
      </w:r>
      <w:proofErr w:type="spellEnd"/>
      <w:r>
        <w:rPr>
          <w:rFonts w:ascii="TH SarabunPSK" w:hAnsi="TH SarabunPSK" w:cs="TH SarabunPSK" w:hint="cs"/>
          <w:sz w:val="28"/>
        </w:rPr>
        <w:t>, 2016).</w:t>
      </w:r>
    </w:p>
    <w:p w14:paraId="701D1C6E"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Currently, antibiotic drug delivery materials that can release drugs directly at the site of infection have been developed. These drug delivery systems are typically spherical beads strung together, which can be placed in the infected area to provide sustained antibiotic release. Nevertheless, a major drawback of these materials is that they are non-biodegradable, requiring surgical removal after treatment is completed (Ferreira et al., 2021).</w:t>
      </w:r>
    </w:p>
    <w:p w14:paraId="701D1C6F" w14:textId="77777777" w:rsidR="00D669AE" w:rsidRDefault="00000000">
      <w:pPr>
        <w:ind w:firstLine="720"/>
        <w:jc w:val="both"/>
        <w:rPr>
          <w:rFonts w:ascii="TH SarabunPSK" w:hAnsi="TH SarabunPSK" w:cs="TH SarabunPSK"/>
          <w:sz w:val="28"/>
        </w:rPr>
      </w:pPr>
      <w:r>
        <w:rPr>
          <w:rFonts w:ascii="TH SarabunPSK" w:hAnsi="TH SarabunPSK" w:cs="TH SarabunPSK" w:hint="cs"/>
          <w:sz w:val="28"/>
        </w:rPr>
        <w:t xml:space="preserve">Hydroxyapatite (HAP) is a material with properties </w:t>
      </w:r>
      <w:proofErr w:type="gramStart"/>
      <w:r>
        <w:rPr>
          <w:rFonts w:ascii="TH SarabunPSK" w:hAnsi="TH SarabunPSK" w:cs="TH SarabunPSK" w:hint="cs"/>
          <w:sz w:val="28"/>
        </w:rPr>
        <w:t>similar to</w:t>
      </w:r>
      <w:proofErr w:type="gramEnd"/>
      <w:r>
        <w:rPr>
          <w:rFonts w:ascii="TH SarabunPSK" w:hAnsi="TH SarabunPSK" w:cs="TH SarabunPSK" w:hint="cs"/>
          <w:sz w:val="28"/>
        </w:rPr>
        <w:t xml:space="preserve"> natural bone and is biodegradable within the body, eliminating the need for surgical removal after treatment. In addition, hydroxyapatite can be used as a drug delivery carrier, particularly for the treatment of bone infections, due to its porous structure, which allows for effective drug loading and sustained release. However, hydroxyapatite currently used in medical applications is relatively expensive due to complex production processes and high raw material costs (</w:t>
      </w:r>
      <w:proofErr w:type="spellStart"/>
      <w:r>
        <w:rPr>
          <w:rFonts w:ascii="TH SarabunPSK" w:hAnsi="TH SarabunPSK" w:cs="TH SarabunPSK" w:hint="cs"/>
          <w:sz w:val="28"/>
        </w:rPr>
        <w:t>Wallapa</w:t>
      </w:r>
      <w:proofErr w:type="spellEnd"/>
      <w:r>
        <w:rPr>
          <w:rFonts w:ascii="TH SarabunPSK" w:hAnsi="TH SarabunPSK" w:cs="TH SarabunPSK" w:hint="cs"/>
          <w:sz w:val="28"/>
        </w:rPr>
        <w:t xml:space="preserve"> </w:t>
      </w:r>
      <w:proofErr w:type="spellStart"/>
      <w:r>
        <w:rPr>
          <w:rFonts w:ascii="TH SarabunPSK" w:hAnsi="TH SarabunPSK" w:cs="TH SarabunPSK" w:hint="cs"/>
          <w:sz w:val="28"/>
        </w:rPr>
        <w:t>Trakulwannachai</w:t>
      </w:r>
      <w:proofErr w:type="spellEnd"/>
      <w:r>
        <w:rPr>
          <w:rFonts w:ascii="TH SarabunPSK" w:hAnsi="TH SarabunPSK" w:cs="TH SarabunPSK" w:hint="cs"/>
          <w:sz w:val="28"/>
        </w:rPr>
        <w:t>, 2018).</w:t>
      </w:r>
    </w:p>
    <w:p w14:paraId="701D1C70"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 xml:space="preserve">To address this issue, the present study focuses on the extraction of </w:t>
      </w:r>
      <w:r>
        <w:rPr>
          <w:rFonts w:ascii="TH SarabunPSK" w:hAnsi="TH SarabunPSK" w:cs="TH SarabunPSK" w:hint="cs"/>
          <w:sz w:val="28"/>
        </w:rPr>
        <w:t xml:space="preserve">hydroxyapatite from tilapia fish scales, which are inexpensive and abundantly available in the market. According to a study by </w:t>
      </w:r>
      <w:proofErr w:type="spellStart"/>
      <w:r>
        <w:rPr>
          <w:rFonts w:ascii="TH SarabunPSK" w:hAnsi="TH SarabunPSK" w:cs="TH SarabunPSK" w:hint="cs"/>
          <w:sz w:val="28"/>
        </w:rPr>
        <w:t>Ikoma</w:t>
      </w:r>
      <w:proofErr w:type="spellEnd"/>
      <w:r>
        <w:rPr>
          <w:rFonts w:ascii="TH SarabunPSK" w:hAnsi="TH SarabunPSK" w:cs="TH SarabunPSK" w:hint="cs"/>
          <w:sz w:val="28"/>
        </w:rPr>
        <w:t xml:space="preserve"> et al. (2003), calcium hydroxyapatite (Ca</w:t>
      </w:r>
      <w:r>
        <w:rPr>
          <w:rFonts w:ascii="TH SarabunPSK" w:hAnsi="TH SarabunPSK" w:cs="TH SarabunPSK"/>
          <w:sz w:val="28"/>
          <w:vertAlign w:val="subscript"/>
        </w:rPr>
        <w:t>10</w:t>
      </w:r>
      <w:r>
        <w:rPr>
          <w:rFonts w:ascii="TH SarabunPSK" w:hAnsi="TH SarabunPSK" w:cs="TH SarabunPSK" w:hint="cs"/>
          <w:sz w:val="28"/>
        </w:rPr>
        <w:t>(PO</w:t>
      </w:r>
      <w:r>
        <w:rPr>
          <w:rFonts w:ascii="TH SarabunPSK" w:hAnsi="TH SarabunPSK" w:cs="TH SarabunPSK" w:hint="cs"/>
          <w:sz w:val="28"/>
          <w:vertAlign w:val="subscript"/>
        </w:rPr>
        <w:t>4</w:t>
      </w:r>
      <w:r>
        <w:rPr>
          <w:rFonts w:ascii="TH SarabunPSK" w:hAnsi="TH SarabunPSK" w:cs="TH SarabunPSK" w:hint="cs"/>
          <w:sz w:val="28"/>
        </w:rPr>
        <w:t>)</w:t>
      </w:r>
      <w:r>
        <w:rPr>
          <w:rFonts w:ascii="TH SarabunPSK" w:hAnsi="TH SarabunPSK" w:cs="TH SarabunPSK" w:hint="cs"/>
          <w:sz w:val="28"/>
          <w:vertAlign w:val="subscript"/>
        </w:rPr>
        <w:t>6</w:t>
      </w:r>
      <w:r>
        <w:rPr>
          <w:rFonts w:ascii="TH SarabunPSK" w:hAnsi="TH SarabunPSK" w:cs="TH SarabunPSK" w:hint="cs"/>
          <w:sz w:val="28"/>
        </w:rPr>
        <w:t>(OH)</w:t>
      </w:r>
      <w:r>
        <w:rPr>
          <w:rFonts w:ascii="TH SarabunPSK" w:hAnsi="TH SarabunPSK" w:cs="TH SarabunPSK" w:hint="cs"/>
          <w:sz w:val="28"/>
          <w:vertAlign w:val="subscript"/>
        </w:rPr>
        <w:t>2</w:t>
      </w:r>
      <w:r>
        <w:rPr>
          <w:rFonts w:ascii="TH SarabunPSK" w:hAnsi="TH SarabunPSK" w:cs="TH SarabunPSK" w:hint="cs"/>
          <w:sz w:val="28"/>
        </w:rPr>
        <w:t>) is a constituent of fish scale structures. Therefore, it is expected that hydroxyapatite extracted from tilapia scales can reduce production costs while maintaining effective drug delivery properties and good bone integration comparable to hydroxyapatite produced through conventional synthetic methods.</w:t>
      </w:r>
    </w:p>
    <w:p w14:paraId="701D1C71" w14:textId="77777777" w:rsidR="00D669AE" w:rsidRDefault="00D669AE">
      <w:pPr>
        <w:spacing w:after="0"/>
        <w:ind w:firstLine="720"/>
        <w:jc w:val="both"/>
        <w:rPr>
          <w:rFonts w:ascii="TH SarabunPSK" w:hAnsi="TH SarabunPSK" w:cs="TH SarabunPSK"/>
          <w:szCs w:val="22"/>
        </w:rPr>
      </w:pPr>
    </w:p>
    <w:p w14:paraId="701D1C72" w14:textId="77777777" w:rsidR="00D669AE" w:rsidRDefault="00000000">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701D1C73" w14:textId="77777777" w:rsidR="00D669AE" w:rsidRDefault="00000000">
      <w:pPr>
        <w:spacing w:after="0" w:line="240" w:lineRule="auto"/>
        <w:jc w:val="both"/>
        <w:rPr>
          <w:rFonts w:ascii="TH SarabunPSK" w:hAnsi="TH SarabunPSK" w:cs="TH SarabunPSK"/>
          <w:b/>
          <w:sz w:val="28"/>
        </w:rPr>
      </w:pPr>
      <w:r>
        <w:rPr>
          <w:rFonts w:ascii="TH SarabunPSK" w:hAnsi="TH SarabunPSK" w:cs="TH SarabunPSK" w:hint="cs"/>
          <w:b/>
          <w:sz w:val="28"/>
        </w:rPr>
        <w:t>1) Materials</w:t>
      </w:r>
    </w:p>
    <w:p w14:paraId="701D1C74" w14:textId="77777777" w:rsidR="00D669AE" w:rsidRDefault="00000000">
      <w:pPr>
        <w:spacing w:after="0" w:line="240" w:lineRule="auto"/>
        <w:ind w:firstLine="720"/>
        <w:jc w:val="both"/>
        <w:rPr>
          <w:rFonts w:ascii="TH SarabunPSK" w:hAnsi="TH SarabunPSK" w:cs="TH SarabunPSK"/>
          <w:bCs/>
          <w:sz w:val="28"/>
        </w:rPr>
      </w:pPr>
      <w:r>
        <w:rPr>
          <w:rFonts w:ascii="TH SarabunPSK" w:hAnsi="TH SarabunPSK" w:cs="TH SarabunPSK" w:hint="cs"/>
          <w:bCs/>
          <w:sz w:val="28"/>
        </w:rPr>
        <w:t>Tilapia fish scales were used as the raw material for hydroxyapatite (</w:t>
      </w:r>
      <w:proofErr w:type="spellStart"/>
      <w:r>
        <w:rPr>
          <w:rFonts w:ascii="TH SarabunPSK" w:hAnsi="TH SarabunPSK" w:cs="TH SarabunPSK" w:hint="cs"/>
          <w:bCs/>
          <w:sz w:val="28"/>
        </w:rPr>
        <w:t>HAp</w:t>
      </w:r>
      <w:proofErr w:type="spellEnd"/>
      <w:r>
        <w:rPr>
          <w:rFonts w:ascii="TH SarabunPSK" w:hAnsi="TH SarabunPSK" w:cs="TH SarabunPSK" w:hint="cs"/>
          <w:bCs/>
          <w:sz w:val="28"/>
        </w:rPr>
        <w:t xml:space="preserve">) extraction. Sodium hydroxide (NaOH, </w:t>
      </w:r>
      <w:r>
        <w:rPr>
          <w:rFonts w:ascii="TH SarabunPSK" w:hAnsi="TH SarabunPSK" w:cs="TH SarabunPSK" w:hint="cs"/>
          <w:b/>
          <w:sz w:val="28"/>
          <w:cs/>
        </w:rPr>
        <w:t>95%</w:t>
      </w:r>
      <w:r>
        <w:rPr>
          <w:rFonts w:ascii="TH SarabunPSK" w:hAnsi="TH SarabunPSK" w:cs="TH SarabunPSK" w:hint="cs"/>
          <w:bCs/>
          <w:sz w:val="28"/>
          <w:cs/>
        </w:rPr>
        <w:t xml:space="preserve"> </w:t>
      </w:r>
      <w:r>
        <w:rPr>
          <w:rFonts w:ascii="TH SarabunPSK" w:hAnsi="TH SarabunPSK" w:cs="TH SarabunPSK" w:hint="cs"/>
          <w:bCs/>
          <w:sz w:val="28"/>
        </w:rPr>
        <w:t xml:space="preserve">purity) and potassium hydroxide (KOH, </w:t>
      </w:r>
      <w:r>
        <w:rPr>
          <w:rFonts w:ascii="TH SarabunPSK" w:hAnsi="TH SarabunPSK" w:cs="TH SarabunPSK" w:hint="cs"/>
          <w:b/>
          <w:sz w:val="28"/>
          <w:cs/>
        </w:rPr>
        <w:t>95%</w:t>
      </w:r>
      <w:r>
        <w:rPr>
          <w:rFonts w:ascii="TH SarabunPSK" w:hAnsi="TH SarabunPSK" w:cs="TH SarabunPSK" w:hint="cs"/>
          <w:bCs/>
          <w:sz w:val="28"/>
          <w:cs/>
        </w:rPr>
        <w:t xml:space="preserve"> </w:t>
      </w:r>
      <w:r>
        <w:rPr>
          <w:rFonts w:ascii="TH SarabunPSK" w:hAnsi="TH SarabunPSK" w:cs="TH SarabunPSK" w:hint="cs"/>
          <w:bCs/>
          <w:sz w:val="28"/>
        </w:rPr>
        <w:t>purity) were employed for organic removal and porosity enhancement, respectively. Gentamicin sulfate injection was used as the model antibiotic. Iodine solution (</w:t>
      </w:r>
      <w:r>
        <w:rPr>
          <w:rFonts w:ascii="TH SarabunPSK" w:hAnsi="TH SarabunPSK" w:cs="TH SarabunPSK" w:hint="cs"/>
          <w:b/>
          <w:sz w:val="28"/>
          <w:cs/>
        </w:rPr>
        <w:t>1%</w:t>
      </w:r>
      <w:r>
        <w:rPr>
          <w:rFonts w:ascii="TH SarabunPSK" w:hAnsi="TH SarabunPSK" w:cs="TH SarabunPSK" w:hint="cs"/>
          <w:bCs/>
          <w:sz w:val="28"/>
          <w:cs/>
        </w:rPr>
        <w:t xml:space="preserve"> </w:t>
      </w:r>
      <w:r>
        <w:rPr>
          <w:rFonts w:ascii="TH SarabunPSK" w:hAnsi="TH SarabunPSK" w:cs="TH SarabunPSK" w:hint="cs"/>
          <w:bCs/>
          <w:sz w:val="28"/>
        </w:rPr>
        <w:t>I</w:t>
      </w:r>
      <w:r>
        <w:rPr>
          <w:rFonts w:ascii="TH SarabunPSK" w:hAnsi="TH SarabunPSK" w:cs="TH SarabunPSK"/>
          <w:bCs/>
          <w:sz w:val="28"/>
          <w:vertAlign w:val="subscript"/>
        </w:rPr>
        <w:t>2</w:t>
      </w:r>
      <w:r>
        <w:rPr>
          <w:rFonts w:ascii="TH SarabunPSK" w:hAnsi="TH SarabunPSK" w:cs="TH SarabunPSK" w:hint="cs"/>
          <w:bCs/>
          <w:sz w:val="28"/>
          <w:cs/>
        </w:rPr>
        <w:t>)</w:t>
      </w:r>
      <w:r>
        <w:rPr>
          <w:rFonts w:ascii="TH SarabunPSK" w:hAnsi="TH SarabunPSK" w:cs="TH SarabunPSK" w:hint="cs"/>
          <w:bCs/>
          <w:sz w:val="28"/>
        </w:rPr>
        <w:t>, sodium thiosulfate (Na</w:t>
      </w:r>
      <w:r>
        <w:rPr>
          <w:rFonts w:ascii="TH SarabunPSK" w:hAnsi="TH SarabunPSK" w:cs="TH SarabunPSK" w:hint="cs"/>
          <w:bCs/>
          <w:sz w:val="28"/>
          <w:vertAlign w:val="subscript"/>
        </w:rPr>
        <w:t>2</w:t>
      </w:r>
      <w:r>
        <w:rPr>
          <w:rFonts w:ascii="TH SarabunPSK" w:hAnsi="TH SarabunPSK" w:cs="TH SarabunPSK" w:hint="cs"/>
          <w:bCs/>
          <w:sz w:val="28"/>
        </w:rPr>
        <w:t>S</w:t>
      </w:r>
      <w:r>
        <w:rPr>
          <w:rFonts w:ascii="TH SarabunPSK" w:hAnsi="TH SarabunPSK" w:cs="TH SarabunPSK"/>
          <w:bCs/>
          <w:sz w:val="28"/>
          <w:vertAlign w:val="subscript"/>
        </w:rPr>
        <w:t>2</w:t>
      </w:r>
      <w:r>
        <w:rPr>
          <w:rFonts w:ascii="TH SarabunPSK" w:hAnsi="TH SarabunPSK" w:cs="TH SarabunPSK" w:hint="cs"/>
          <w:bCs/>
          <w:sz w:val="28"/>
        </w:rPr>
        <w:t>O</w:t>
      </w:r>
      <w:r>
        <w:rPr>
          <w:rFonts w:ascii="TH SarabunPSK" w:hAnsi="TH SarabunPSK" w:cs="TH SarabunPSK"/>
          <w:bCs/>
          <w:sz w:val="28"/>
          <w:vertAlign w:val="subscript"/>
        </w:rPr>
        <w:t>3</w:t>
      </w:r>
      <w:r>
        <w:rPr>
          <w:rFonts w:ascii="TH SarabunPSK" w:hAnsi="TH SarabunPSK" w:cs="TH SarabunPSK" w:hint="cs"/>
          <w:bCs/>
          <w:sz w:val="28"/>
          <w:cs/>
        </w:rPr>
        <w:t>)</w:t>
      </w:r>
      <w:r>
        <w:rPr>
          <w:rFonts w:ascii="TH SarabunPSK" w:hAnsi="TH SarabunPSK" w:cs="TH SarabunPSK" w:hint="cs"/>
          <w:bCs/>
          <w:sz w:val="28"/>
        </w:rPr>
        <w:t xml:space="preserve"> and </w:t>
      </w:r>
      <w:proofErr w:type="gramStart"/>
      <w:r>
        <w:rPr>
          <w:rFonts w:ascii="TH SarabunPSK" w:hAnsi="TH SarabunPSK" w:cs="TH SarabunPSK" w:hint="cs"/>
          <w:bCs/>
          <w:sz w:val="28"/>
        </w:rPr>
        <w:t>copper(</w:t>
      </w:r>
      <w:proofErr w:type="gramEnd"/>
      <w:r>
        <w:rPr>
          <w:rFonts w:ascii="TH SarabunPSK" w:hAnsi="TH SarabunPSK" w:cs="TH SarabunPSK" w:hint="cs"/>
          <w:bCs/>
          <w:sz w:val="28"/>
        </w:rPr>
        <w:t>II) chloride dihydrate (CuCl</w:t>
      </w:r>
      <w:r>
        <w:rPr>
          <w:rFonts w:ascii="TH SarabunPSK" w:hAnsi="TH SarabunPSK" w:cs="TH SarabunPSK"/>
          <w:bCs/>
          <w:sz w:val="28"/>
          <w:vertAlign w:val="subscript"/>
        </w:rPr>
        <w:t>2</w:t>
      </w:r>
      <w:r>
        <w:rPr>
          <w:rFonts w:ascii="TH SarabunPSK" w:hAnsi="TH SarabunPSK" w:cs="TH SarabunPSK" w:hint="cs"/>
          <w:bCs/>
          <w:sz w:val="28"/>
        </w:rPr>
        <w:t>·</w:t>
      </w:r>
      <w:r>
        <w:rPr>
          <w:rFonts w:ascii="TH SarabunPSK" w:hAnsi="TH SarabunPSK" w:cs="TH SarabunPSK" w:hint="cs"/>
          <w:b/>
          <w:sz w:val="28"/>
          <w:cs/>
        </w:rPr>
        <w:t>2</w:t>
      </w:r>
      <w:r>
        <w:rPr>
          <w:rFonts w:ascii="TH SarabunPSK" w:hAnsi="TH SarabunPSK" w:cs="TH SarabunPSK" w:hint="cs"/>
          <w:bCs/>
          <w:sz w:val="28"/>
        </w:rPr>
        <w:t>H</w:t>
      </w:r>
      <w:r>
        <w:rPr>
          <w:rFonts w:ascii="TH SarabunPSK" w:hAnsi="TH SarabunPSK" w:cs="TH SarabunPSK"/>
          <w:bCs/>
          <w:sz w:val="28"/>
          <w:vertAlign w:val="subscript"/>
        </w:rPr>
        <w:t>2</w:t>
      </w:r>
      <w:r>
        <w:rPr>
          <w:rFonts w:ascii="TH SarabunPSK" w:hAnsi="TH SarabunPSK" w:cs="TH SarabunPSK" w:hint="cs"/>
          <w:bCs/>
          <w:sz w:val="28"/>
        </w:rPr>
        <w:t>O) were used for porosity analysis. All chemicals were used as received, and deionized water was used throughout the experiments. The instruments included a muffle furnace, shaker, tablet press, water bath, UV–Visible spectrophotometer (UV-1800, Shimadzu, Kyoto, Japan), and hot air oven.</w:t>
      </w:r>
    </w:p>
    <w:p w14:paraId="701D1C75" w14:textId="77777777" w:rsidR="00D669AE" w:rsidRDefault="00000000">
      <w:pPr>
        <w:spacing w:after="0"/>
        <w:jc w:val="both"/>
        <w:rPr>
          <w:rFonts w:ascii="TH SarabunPSK" w:hAnsi="TH SarabunPSK" w:cs="TH SarabunPSK"/>
          <w:b/>
          <w:sz w:val="28"/>
        </w:rPr>
      </w:pPr>
      <w:r>
        <w:rPr>
          <w:rFonts w:ascii="TH SarabunPSK" w:hAnsi="TH SarabunPSK" w:cs="TH SarabunPSK" w:hint="cs"/>
          <w:b/>
          <w:sz w:val="28"/>
        </w:rPr>
        <w:t>2</w:t>
      </w:r>
      <w:r>
        <w:rPr>
          <w:rFonts w:ascii="TH SarabunPSK" w:hAnsi="TH SarabunPSK" w:cs="TH SarabunPSK"/>
          <w:b/>
          <w:sz w:val="28"/>
        </w:rPr>
        <w:t xml:space="preserve">) </w:t>
      </w:r>
      <w:r>
        <w:rPr>
          <w:rFonts w:ascii="TH SarabunPSK" w:hAnsi="TH SarabunPSK" w:cs="TH SarabunPSK" w:hint="cs"/>
          <w:b/>
          <w:sz w:val="28"/>
        </w:rPr>
        <w:t>Preparation and Porosity Activation of Hydroxyapatite</w:t>
      </w:r>
    </w:p>
    <w:p w14:paraId="701D1C76" w14:textId="77777777" w:rsidR="00D669AE" w:rsidRDefault="00000000">
      <w:pPr>
        <w:spacing w:after="0"/>
        <w:jc w:val="both"/>
        <w:rPr>
          <w:rFonts w:ascii="TH SarabunPSK" w:hAnsi="TH SarabunPSK" w:cs="TH SarabunPSK"/>
          <w:bCs/>
          <w:sz w:val="28"/>
        </w:rPr>
      </w:pPr>
      <w:r>
        <w:rPr>
          <w:rFonts w:ascii="TH SarabunPSK" w:hAnsi="TH SarabunPSK" w:cs="TH SarabunPSK"/>
          <w:b/>
          <w:sz w:val="28"/>
        </w:rPr>
        <w:tab/>
      </w:r>
      <w:r>
        <w:rPr>
          <w:rFonts w:ascii="TH SarabunPSK" w:hAnsi="TH SarabunPSK" w:cs="TH SarabunPSK" w:hint="cs"/>
          <w:bCs/>
          <w:sz w:val="28"/>
        </w:rPr>
        <w:t xml:space="preserve">Fish scales were washed, boiled, and dried prior to chemical treatment. The cleaned </w:t>
      </w:r>
      <w:r>
        <w:rPr>
          <w:rFonts w:ascii="TH SarabunPSK" w:hAnsi="TH SarabunPSK" w:cs="TH SarabunPSK" w:hint="cs"/>
          <w:bCs/>
          <w:sz w:val="28"/>
        </w:rPr>
        <w:lastRenderedPageBreak/>
        <w:t>scales were soaked in 3 mol/L NaOH for 24 h</w:t>
      </w:r>
      <w:r>
        <w:rPr>
          <w:rFonts w:ascii="TH SarabunPSK" w:hAnsi="TH SarabunPSK" w:cs="TH SarabunPSK"/>
          <w:bCs/>
          <w:sz w:val="28"/>
        </w:rPr>
        <w:t>r.</w:t>
      </w:r>
      <w:r>
        <w:rPr>
          <w:rFonts w:ascii="TH SarabunPSK" w:hAnsi="TH SarabunPSK" w:cs="TH SarabunPSK" w:hint="cs"/>
          <w:bCs/>
          <w:sz w:val="28"/>
        </w:rPr>
        <w:t xml:space="preserve"> to remove organic components, rinsed until neutral pH, and calcined at 1,000 °C for 5 h</w:t>
      </w:r>
      <w:r>
        <w:rPr>
          <w:rFonts w:ascii="TH SarabunPSK" w:hAnsi="TH SarabunPSK" w:cs="TH SarabunPSK"/>
          <w:bCs/>
          <w:sz w:val="28"/>
        </w:rPr>
        <w:t>r</w:t>
      </w:r>
      <w:r>
        <w:rPr>
          <w:rFonts w:ascii="TH SarabunPSK" w:hAnsi="TH SarabunPSK" w:cs="TH SarabunPSK" w:hint="cs"/>
          <w:bCs/>
          <w:sz w:val="28"/>
        </w:rPr>
        <w:t>. The resulting hydroxyapatite was ground into powder.</w:t>
      </w:r>
    </w:p>
    <w:p w14:paraId="701D1C77" w14:textId="77777777" w:rsidR="00D669AE" w:rsidRDefault="00000000">
      <w:pPr>
        <w:spacing w:after="0"/>
        <w:ind w:firstLine="720"/>
        <w:jc w:val="both"/>
        <w:rPr>
          <w:rFonts w:ascii="TH SarabunPSK" w:hAnsi="TH SarabunPSK" w:cs="TH SarabunPSK"/>
          <w:bCs/>
          <w:sz w:val="28"/>
        </w:rPr>
      </w:pPr>
      <w:r>
        <w:rPr>
          <w:rFonts w:ascii="TH SarabunPSK" w:hAnsi="TH SarabunPSK" w:cs="TH SarabunPSK" w:hint="cs"/>
          <w:bCs/>
          <w:sz w:val="28"/>
        </w:rPr>
        <w:t xml:space="preserve">Porosity activation was performed using KOH at different concentrations and durations: non-activated hydroxyapatite, 1 mol/L KOH for 1 h and 5 </w:t>
      </w:r>
      <w:proofErr w:type="spellStart"/>
      <w:r>
        <w:rPr>
          <w:rFonts w:ascii="TH SarabunPSK" w:hAnsi="TH SarabunPSK" w:cs="TH SarabunPSK" w:hint="cs"/>
          <w:bCs/>
          <w:sz w:val="28"/>
        </w:rPr>
        <w:t>h</w:t>
      </w:r>
      <w:r>
        <w:rPr>
          <w:rFonts w:ascii="TH SarabunPSK" w:hAnsi="TH SarabunPSK" w:cs="TH SarabunPSK"/>
          <w:bCs/>
          <w:sz w:val="28"/>
        </w:rPr>
        <w:t>r</w:t>
      </w:r>
      <w:proofErr w:type="spellEnd"/>
      <w:r>
        <w:rPr>
          <w:rFonts w:ascii="TH SarabunPSK" w:hAnsi="TH SarabunPSK" w:cs="TH SarabunPSK" w:hint="cs"/>
          <w:bCs/>
          <w:sz w:val="28"/>
        </w:rPr>
        <w:t>, and 3 mol/L KOH for 1 h</w:t>
      </w:r>
      <w:r>
        <w:rPr>
          <w:rFonts w:ascii="TH SarabunPSK" w:hAnsi="TH SarabunPSK" w:cs="TH SarabunPSK"/>
          <w:bCs/>
          <w:sz w:val="28"/>
        </w:rPr>
        <w:t>r.</w:t>
      </w:r>
      <w:r>
        <w:rPr>
          <w:rFonts w:ascii="TH SarabunPSK" w:hAnsi="TH SarabunPSK" w:cs="TH SarabunPSK" w:hint="cs"/>
          <w:bCs/>
          <w:sz w:val="28"/>
        </w:rPr>
        <w:t xml:space="preserve"> and 5 h</w:t>
      </w:r>
      <w:r>
        <w:rPr>
          <w:rFonts w:ascii="TH SarabunPSK" w:hAnsi="TH SarabunPSK" w:cs="TH SarabunPSK"/>
          <w:bCs/>
          <w:sz w:val="28"/>
        </w:rPr>
        <w:t>r</w:t>
      </w:r>
      <w:r>
        <w:rPr>
          <w:rFonts w:ascii="TH SarabunPSK" w:hAnsi="TH SarabunPSK" w:cs="TH SarabunPSK" w:hint="cs"/>
          <w:bCs/>
          <w:sz w:val="28"/>
        </w:rPr>
        <w:t>. After activation, samples were washed and dried.</w:t>
      </w:r>
    </w:p>
    <w:p w14:paraId="701D1C78" w14:textId="77777777" w:rsidR="00D669AE" w:rsidRDefault="00000000">
      <w:pPr>
        <w:spacing w:after="0"/>
        <w:ind w:firstLine="720"/>
        <w:jc w:val="both"/>
        <w:rPr>
          <w:rFonts w:ascii="TH SarabunPSK" w:hAnsi="TH SarabunPSK" w:cs="TH SarabunPSK"/>
          <w:b/>
          <w:sz w:val="28"/>
        </w:rPr>
      </w:pPr>
      <w:r>
        <w:rPr>
          <w:rFonts w:ascii="TH SarabunPSK" w:hAnsi="TH SarabunPSK" w:cs="TH SarabunPSK" w:hint="cs"/>
          <w:b/>
          <w:sz w:val="28"/>
        </w:rPr>
        <w:t>3) Characterization of Hydroxyapatite</w:t>
      </w:r>
    </w:p>
    <w:p w14:paraId="701D1C79" w14:textId="77777777" w:rsidR="00D669AE" w:rsidRDefault="00000000">
      <w:pPr>
        <w:spacing w:after="0"/>
        <w:ind w:firstLineChars="250" w:firstLine="700"/>
        <w:jc w:val="both"/>
        <w:rPr>
          <w:rFonts w:ascii="TH SarabunPSK" w:hAnsi="TH SarabunPSK" w:cs="TH SarabunPSK"/>
          <w:sz w:val="28"/>
        </w:rPr>
      </w:pPr>
      <w:r>
        <w:rPr>
          <w:rFonts w:ascii="TH SarabunPSK" w:hAnsi="TH SarabunPSK" w:cs="TH SarabunPSK" w:hint="cs"/>
          <w:sz w:val="28"/>
        </w:rPr>
        <w:t>Chemical composition was analyzed by Fourier-transform infrared spectroscopy (FT-IR) to confirm characteristic hydroxyapatite functional groups. Porosity was evaluated using the iodometry method. Surface morphology and pore structure were observed using field emission scanning electron microscopy (FESEM).</w:t>
      </w:r>
    </w:p>
    <w:p w14:paraId="701D1C7A" w14:textId="77777777" w:rsidR="00D669AE" w:rsidRDefault="00000000">
      <w:pPr>
        <w:spacing w:after="0"/>
        <w:jc w:val="both"/>
        <w:rPr>
          <w:rFonts w:ascii="TH SarabunPSK" w:hAnsi="TH SarabunPSK" w:cs="TH SarabunPSK"/>
          <w:b/>
          <w:sz w:val="28"/>
        </w:rPr>
      </w:pPr>
      <w:r>
        <w:rPr>
          <w:rFonts w:ascii="TH SarabunPSK" w:hAnsi="TH SarabunPSK" w:cs="TH SarabunPSK"/>
          <w:sz w:val="28"/>
        </w:rPr>
        <w:tab/>
      </w:r>
      <w:r>
        <w:rPr>
          <w:rFonts w:ascii="TH SarabunPSK" w:hAnsi="TH SarabunPSK" w:cs="TH SarabunPSK" w:hint="cs"/>
          <w:b/>
          <w:sz w:val="28"/>
        </w:rPr>
        <w:t>4) Gentamicin Loading and Pellet Formation</w:t>
      </w:r>
    </w:p>
    <w:p w14:paraId="701D1C7B" w14:textId="77777777" w:rsidR="00D669AE" w:rsidRDefault="00000000">
      <w:pPr>
        <w:spacing w:after="0"/>
        <w:ind w:firstLineChars="250" w:firstLine="700"/>
        <w:jc w:val="both"/>
        <w:rPr>
          <w:rFonts w:ascii="TH SarabunPSK" w:hAnsi="TH SarabunPSK" w:cs="TH SarabunPSK"/>
          <w:sz w:val="28"/>
        </w:rPr>
      </w:pPr>
      <w:r>
        <w:rPr>
          <w:rFonts w:ascii="TH SarabunPSK" w:hAnsi="TH SarabunPSK" w:cs="TH SarabunPSK" w:hint="cs"/>
          <w:sz w:val="28"/>
        </w:rPr>
        <w:t>Hydroxyapatite powder was immersed in gentamicin solution and agitated for 30 min to allow drug adsorption. The loaded samples were filtered and dried at 30 °C. Pellets were prepared by compressing 0.5 g of gentamicin-loaded hydroxyapatite, and pellet dimensions were measured to ensure consistency.</w:t>
      </w:r>
    </w:p>
    <w:p w14:paraId="701D1C7C" w14:textId="77777777" w:rsidR="00D669AE" w:rsidRDefault="00000000">
      <w:pPr>
        <w:spacing w:after="0"/>
        <w:jc w:val="both"/>
        <w:rPr>
          <w:rFonts w:ascii="TH SarabunPSK" w:hAnsi="TH SarabunPSK" w:cs="TH SarabunPSK"/>
          <w:b/>
          <w:sz w:val="28"/>
        </w:rPr>
      </w:pPr>
      <w:r>
        <w:rPr>
          <w:rFonts w:ascii="TH SarabunPSK" w:hAnsi="TH SarabunPSK" w:cs="TH SarabunPSK"/>
          <w:sz w:val="28"/>
        </w:rPr>
        <w:tab/>
      </w:r>
      <w:r>
        <w:rPr>
          <w:rFonts w:ascii="TH SarabunPSK" w:hAnsi="TH SarabunPSK" w:cs="TH SarabunPSK" w:hint="cs"/>
          <w:b/>
          <w:sz w:val="28"/>
        </w:rPr>
        <w:t>5) In Vitro Drug Release Study</w:t>
      </w:r>
    </w:p>
    <w:p w14:paraId="701D1C7D" w14:textId="77777777" w:rsidR="00D669AE" w:rsidRDefault="00000000">
      <w:pPr>
        <w:spacing w:after="0"/>
        <w:ind w:firstLineChars="250" w:firstLine="700"/>
        <w:jc w:val="both"/>
        <w:rPr>
          <w:rFonts w:ascii="TH SarabunPSK" w:hAnsi="TH SarabunPSK" w:cs="TH SarabunPSK"/>
          <w:bCs/>
          <w:sz w:val="28"/>
        </w:rPr>
      </w:pPr>
      <w:r>
        <w:rPr>
          <w:rFonts w:ascii="TH SarabunPSK" w:hAnsi="TH SarabunPSK" w:cs="TH SarabunPSK" w:hint="cs"/>
          <w:bCs/>
          <w:sz w:val="28"/>
        </w:rPr>
        <w:t xml:space="preserve">Pellets were immersed in 50 mL of distilled water or SBF and incubated at 37 °C for 7 days. Samples were collected daily, and </w:t>
      </w:r>
      <w:r>
        <w:rPr>
          <w:rFonts w:ascii="TH SarabunPSK" w:hAnsi="TH SarabunPSK" w:cs="TH SarabunPSK" w:hint="cs"/>
          <w:bCs/>
          <w:sz w:val="28"/>
        </w:rPr>
        <w:t>gentamicin concentration was quantified by UV–visible spectrophotometry at 291 nm using a standard calibration curve</w:t>
      </w:r>
    </w:p>
    <w:p w14:paraId="701D1C7E" w14:textId="77777777" w:rsidR="00D669AE" w:rsidRDefault="00000000">
      <w:pPr>
        <w:spacing w:after="0"/>
        <w:ind w:firstLine="720"/>
        <w:jc w:val="both"/>
        <w:rPr>
          <w:rFonts w:ascii="TH SarabunPSK" w:hAnsi="TH SarabunPSK" w:cs="TH SarabunPSK"/>
          <w:b/>
          <w:sz w:val="28"/>
        </w:rPr>
      </w:pPr>
      <w:r>
        <w:rPr>
          <w:rFonts w:ascii="TH SarabunPSK" w:hAnsi="TH SarabunPSK" w:cs="TH SarabunPSK" w:hint="cs"/>
          <w:b/>
          <w:sz w:val="28"/>
        </w:rPr>
        <w:t>6) Release Kinetics and Statistical Analysis</w:t>
      </w:r>
    </w:p>
    <w:p w14:paraId="701D1C7F" w14:textId="77777777" w:rsidR="00D669AE" w:rsidRDefault="00000000">
      <w:pPr>
        <w:spacing w:after="0"/>
        <w:ind w:firstLineChars="250" w:firstLine="700"/>
        <w:jc w:val="both"/>
        <w:rPr>
          <w:rFonts w:ascii="TH SarabunPSK" w:hAnsi="TH SarabunPSK" w:cs="TH SarabunPSK"/>
          <w:b/>
          <w:sz w:val="28"/>
        </w:rPr>
      </w:pPr>
      <w:r>
        <w:rPr>
          <w:rFonts w:ascii="TH SarabunPSK" w:hAnsi="TH SarabunPSK" w:cs="TH SarabunPSK" w:hint="cs"/>
          <w:bCs/>
          <w:sz w:val="28"/>
        </w:rPr>
        <w:t>Drug release data were fitted to zero-order, first-order, and Higuchi models to evaluate release mechanisms. Statistical analyses were conducted using one-way ANOVA followed by Tukey's HSD post hoc test for multiple comparisons and an independent-samples t-test for comparisons between two independent groups. A significance level of p &lt; 0.01 was adopted throughout the study.</w:t>
      </w:r>
    </w:p>
    <w:p w14:paraId="701D1C80" w14:textId="77777777" w:rsidR="00D669AE" w:rsidRDefault="00000000">
      <w:pPr>
        <w:spacing w:after="0" w:line="240" w:lineRule="auto"/>
        <w:jc w:val="thaiDistribute"/>
        <w:rPr>
          <w:rFonts w:ascii="TH SarabunPSK" w:hAnsi="TH SarabunPSK" w:cs="TH SarabunPSK"/>
          <w:sz w:val="28"/>
        </w:rPr>
      </w:pPr>
      <w:proofErr w:type="gramStart"/>
      <w:r>
        <w:rPr>
          <w:rFonts w:ascii="TH SarabunPSK" w:hAnsi="TH SarabunPSK" w:cs="TH SarabunPSK"/>
          <w:b/>
          <w:bCs/>
          <w:sz w:val="28"/>
        </w:rPr>
        <w:t>Result</w:t>
      </w:r>
      <w:proofErr w:type="gramEnd"/>
      <w:r>
        <w:rPr>
          <w:rFonts w:ascii="TH SarabunPSK" w:hAnsi="TH SarabunPSK" w:cs="TH SarabunPSK"/>
          <w:b/>
          <w:bCs/>
          <w:sz w:val="28"/>
        </w:rPr>
        <w:t xml:space="preserve"> and Discussion</w:t>
      </w:r>
      <w:r>
        <w:rPr>
          <w:rFonts w:ascii="TH SarabunPSK" w:hAnsi="TH SarabunPSK" w:cs="TH SarabunPSK"/>
          <w:sz w:val="28"/>
        </w:rPr>
        <w:t xml:space="preserve"> </w:t>
      </w:r>
    </w:p>
    <w:p w14:paraId="701D1C81" w14:textId="77777777" w:rsidR="00D669AE" w:rsidRDefault="00000000">
      <w:pPr>
        <w:spacing w:after="0"/>
        <w:ind w:firstLine="720"/>
        <w:jc w:val="both"/>
        <w:rPr>
          <w:rFonts w:ascii="TH SarabunPSK" w:hAnsi="TH SarabunPSK" w:cs="TH SarabunPSK"/>
          <w:b/>
          <w:bCs/>
          <w:sz w:val="28"/>
        </w:rPr>
      </w:pPr>
      <w:r>
        <w:rPr>
          <w:rFonts w:ascii="TH SarabunPSK" w:hAnsi="TH SarabunPSK" w:cs="TH SarabunPSK" w:hint="cs"/>
          <w:b/>
          <w:sz w:val="28"/>
        </w:rPr>
        <w:t>1</w:t>
      </w:r>
      <w:r>
        <w:rPr>
          <w:rFonts w:ascii="TH SarabunPSK" w:hAnsi="TH SarabunPSK" w:cs="TH SarabunPSK"/>
          <w:b/>
          <w:sz w:val="28"/>
        </w:rPr>
        <w:t xml:space="preserve">)  </w:t>
      </w:r>
      <w:r>
        <w:rPr>
          <w:rFonts w:ascii="TH SarabunPSK" w:hAnsi="TH SarabunPSK" w:cs="TH SarabunPSK" w:hint="cs"/>
          <w:b/>
          <w:bCs/>
          <w:sz w:val="28"/>
        </w:rPr>
        <w:t>Morphology and Porosity Analysis</w:t>
      </w:r>
    </w:p>
    <w:p w14:paraId="701D1C82" w14:textId="77777777" w:rsidR="00D669AE" w:rsidRDefault="00000000">
      <w:pPr>
        <w:spacing w:after="0"/>
        <w:jc w:val="both"/>
        <w:rPr>
          <w:rFonts w:ascii="TH SarabunPSK" w:hAnsi="TH SarabunPSK" w:cs="TH SarabunPSK"/>
          <w:bCs/>
          <w:sz w:val="28"/>
        </w:rPr>
      </w:pPr>
      <w:r>
        <w:rPr>
          <w:rFonts w:ascii="TH SarabunPSK" w:hAnsi="TH SarabunPSK" w:cs="TH SarabunPSK" w:hint="cs"/>
          <w:bCs/>
          <w:sz w:val="28"/>
        </w:rPr>
        <w:t xml:space="preserve">FT-IR analysis confirmed the successful extraction of </w:t>
      </w:r>
      <w:proofErr w:type="spellStart"/>
      <w:r>
        <w:rPr>
          <w:rFonts w:ascii="TH SarabunPSK" w:hAnsi="TH SarabunPSK" w:cs="TH SarabunPSK" w:hint="cs"/>
          <w:bCs/>
          <w:sz w:val="28"/>
        </w:rPr>
        <w:t>HAp</w:t>
      </w:r>
      <w:proofErr w:type="spellEnd"/>
      <w:r>
        <w:rPr>
          <w:rFonts w:ascii="TH SarabunPSK" w:hAnsi="TH SarabunPSK" w:cs="TH SarabunPSK" w:hint="cs"/>
          <w:bCs/>
          <w:sz w:val="28"/>
        </w:rPr>
        <w:t>, showing characteristic functional groups in all samples (</w:t>
      </w:r>
      <w:r>
        <w:rPr>
          <w:rFonts w:ascii="TH SarabunPSK" w:hAnsi="TH SarabunPSK" w:cs="TH SarabunPSK" w:hint="cs"/>
          <w:b/>
          <w:sz w:val="28"/>
        </w:rPr>
        <w:t>Figure 1</w:t>
      </w:r>
      <w:r>
        <w:rPr>
          <w:rFonts w:ascii="TH SarabunPSK" w:hAnsi="TH SarabunPSK" w:cs="TH SarabunPSK" w:hint="cs"/>
          <w:bCs/>
          <w:sz w:val="28"/>
        </w:rPr>
        <w:t>). FESEM images (</w:t>
      </w:r>
      <w:r>
        <w:rPr>
          <w:rFonts w:ascii="TH SarabunPSK" w:hAnsi="TH SarabunPSK" w:cs="TH SarabunPSK" w:hint="cs"/>
          <w:b/>
          <w:sz w:val="28"/>
        </w:rPr>
        <w:t>Figure 2</w:t>
      </w:r>
      <w:r>
        <w:rPr>
          <w:rFonts w:ascii="TH SarabunPSK" w:hAnsi="TH SarabunPSK" w:cs="TH SarabunPSK" w:hint="cs"/>
          <w:bCs/>
          <w:sz w:val="28"/>
        </w:rPr>
        <w:t xml:space="preserve">) revealed that KOH activation significantly increased surface roughness and porosity compared to the non-activated control. These findings correlate with the iodine numbers presented in </w:t>
      </w:r>
      <w:r>
        <w:rPr>
          <w:rFonts w:ascii="TH SarabunPSK" w:hAnsi="TH SarabunPSK" w:cs="TH SarabunPSK" w:hint="cs"/>
          <w:b/>
          <w:sz w:val="28"/>
        </w:rPr>
        <w:t>Table 1</w:t>
      </w:r>
      <w:r>
        <w:rPr>
          <w:rFonts w:ascii="TH SarabunPSK" w:hAnsi="TH SarabunPSK" w:cs="TH SarabunPSK" w:hint="cs"/>
          <w:bCs/>
          <w:sz w:val="28"/>
        </w:rPr>
        <w:t>, where the 1 M KOH (5 h</w:t>
      </w:r>
      <w:r>
        <w:rPr>
          <w:rFonts w:ascii="TH SarabunPSK" w:hAnsi="TH SarabunPSK" w:cs="TH SarabunPSK"/>
          <w:bCs/>
          <w:sz w:val="28"/>
        </w:rPr>
        <w:t>r.</w:t>
      </w:r>
      <w:r>
        <w:rPr>
          <w:rFonts w:ascii="TH SarabunPSK" w:hAnsi="TH SarabunPSK" w:cs="TH SarabunPSK" w:hint="cs"/>
          <w:bCs/>
          <w:sz w:val="28"/>
        </w:rPr>
        <w:t>) formulation exhibited the highest adsorption capacity, indicating an optimal porous structure for drug loading.</w:t>
      </w:r>
    </w:p>
    <w:p w14:paraId="701D1C83" w14:textId="77777777" w:rsidR="00D669AE" w:rsidRDefault="00000000">
      <w:pPr>
        <w:jc w:val="both"/>
        <w:rPr>
          <w:rFonts w:ascii="TH SarabunPSK" w:hAnsi="TH SarabunPSK" w:cs="TH SarabunPSK"/>
          <w:bCs/>
          <w:sz w:val="28"/>
        </w:rPr>
      </w:pPr>
      <w:r>
        <w:rPr>
          <w:rFonts w:ascii="Times New Roman" w:hAnsi="Times New Roman" w:cs="Times New Roman"/>
          <w:bCs/>
          <w:noProof/>
          <w:szCs w:val="22"/>
          <w:cs/>
        </w:rPr>
        <w:lastRenderedPageBreak/>
        <w:drawing>
          <wp:inline distT="0" distB="0" distL="0" distR="0" wp14:anchorId="701D1CDA" wp14:editId="701D1CDB">
            <wp:extent cx="2651125" cy="1818005"/>
            <wp:effectExtent l="0" t="0" r="0" b="0"/>
            <wp:docPr id="161972436" name="รูปภาพ 1" descr="รูปภาพประกอบด้วย ข้อความ, ซอฟต์แวร์, พล็อต, ไล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2436" name="รูปภาพ 1" descr="รูปภาพประกอบด้วย ข้อความ, ซอฟต์แวร์, พล็อต, ไลน์&#10;&#10;เนื้อหาที่สร้างโดย AI อาจไม่ถูกต้อง"/>
                    <pic:cNvPicPr>
                      <a:picLocks noChangeAspect="1"/>
                    </pic:cNvPicPr>
                  </pic:nvPicPr>
                  <pic:blipFill>
                    <a:blip r:embed="rId9"/>
                    <a:srcRect l="25684" t="29545" r="23249" b="3739"/>
                    <a:stretch>
                      <a:fillRect/>
                    </a:stretch>
                  </pic:blipFill>
                  <pic:spPr>
                    <a:xfrm>
                      <a:off x="0" y="0"/>
                      <a:ext cx="2651125" cy="1818179"/>
                    </a:xfrm>
                    <a:prstGeom prst="rect">
                      <a:avLst/>
                    </a:prstGeom>
                    <a:ln>
                      <a:noFill/>
                    </a:ln>
                  </pic:spPr>
                </pic:pic>
              </a:graphicData>
            </a:graphic>
          </wp:inline>
        </w:drawing>
      </w:r>
    </w:p>
    <w:p w14:paraId="701D1C84" w14:textId="77777777" w:rsidR="00D669AE" w:rsidRDefault="00000000">
      <w:pPr>
        <w:jc w:val="both"/>
        <w:rPr>
          <w:rFonts w:ascii="TH SarabunPSK" w:hAnsi="TH SarabunPSK" w:cs="TH SarabunPSK"/>
          <w:bCs/>
          <w:sz w:val="28"/>
        </w:rPr>
      </w:pPr>
      <w:r>
        <w:rPr>
          <w:rFonts w:ascii="TH SarabunPSK" w:hAnsi="TH SarabunPSK" w:cs="TH SarabunPSK"/>
          <w:b/>
          <w:bCs/>
          <w:sz w:val="28"/>
        </w:rPr>
        <w:t>Fig. 1</w:t>
      </w:r>
      <w:r>
        <w:rPr>
          <w:rFonts w:ascii="TH SarabunPSK" w:hAnsi="TH SarabunPSK" w:cs="TH SarabunPSK" w:hint="cs"/>
          <w:sz w:val="28"/>
          <w:cs/>
        </w:rPr>
        <w:t xml:space="preserve"> </w:t>
      </w:r>
      <w:r>
        <w:rPr>
          <w:rFonts w:ascii="TH SarabunPSK" w:hAnsi="TH SarabunPSK" w:cs="TH SarabunPSK" w:hint="cs"/>
          <w:bCs/>
          <w:sz w:val="28"/>
        </w:rPr>
        <w:t>FT-IR spectra of hydroxyapatite.</w:t>
      </w:r>
    </w:p>
    <w:p w14:paraId="701D1C85" w14:textId="77777777" w:rsidR="00D669AE" w:rsidRDefault="00000000">
      <w:pPr>
        <w:jc w:val="both"/>
        <w:rPr>
          <w:rFonts w:ascii="Times New Roman" w:hAnsi="Times New Roman" w:cs="Times New Roman"/>
          <w:bCs/>
          <w:szCs w:val="22"/>
        </w:rPr>
      </w:pPr>
      <w:r>
        <w:rPr>
          <w:rFonts w:ascii="Times New Roman" w:hAnsi="Times New Roman" w:cs="Times New Roman"/>
          <w:bCs/>
          <w:noProof/>
          <w:szCs w:val="22"/>
          <w:cs/>
        </w:rPr>
        <w:drawing>
          <wp:inline distT="0" distB="0" distL="0" distR="0" wp14:anchorId="701D1CDC" wp14:editId="701D1CDD">
            <wp:extent cx="2651125" cy="1426210"/>
            <wp:effectExtent l="0" t="0" r="0" b="2540"/>
            <wp:docPr id="723134030" name="รูปภาพ 1" descr="รูปภาพประกอบด้วย ข้อความ, ซอฟต์แวร์, ซอฟต์แวร์มัลติมีเดีย, ซอฟต์แวร์กราฟิก&#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34030" name="รูปภาพ 1" descr="รูปภาพประกอบด้วย ข้อความ, ซอฟต์แวร์, ซอฟต์แวร์มัลติมีเดีย, ซอฟต์แวร์กราฟิก&#10;&#10;เนื้อหาที่สร้างโดย AI อาจไม่ถูกต้อง"/>
                    <pic:cNvPicPr>
                      <a:picLocks noChangeAspect="1"/>
                    </pic:cNvPicPr>
                  </pic:nvPicPr>
                  <pic:blipFill>
                    <a:blip r:embed="rId10"/>
                    <a:srcRect l="18884" t="32459" r="18919" b="3799"/>
                    <a:stretch>
                      <a:fillRect/>
                    </a:stretch>
                  </pic:blipFill>
                  <pic:spPr>
                    <a:xfrm>
                      <a:off x="0" y="0"/>
                      <a:ext cx="2651125" cy="1426441"/>
                    </a:xfrm>
                    <a:prstGeom prst="rect">
                      <a:avLst/>
                    </a:prstGeom>
                    <a:ln>
                      <a:noFill/>
                    </a:ln>
                  </pic:spPr>
                </pic:pic>
              </a:graphicData>
            </a:graphic>
          </wp:inline>
        </w:drawing>
      </w:r>
    </w:p>
    <w:p w14:paraId="701D1C86" w14:textId="77777777" w:rsidR="00D669AE" w:rsidRDefault="00000000">
      <w:pPr>
        <w:jc w:val="both"/>
        <w:rPr>
          <w:rFonts w:ascii="TH SarabunPSK" w:hAnsi="TH SarabunPSK" w:cs="TH SarabunPSK"/>
          <w:bCs/>
          <w:sz w:val="28"/>
        </w:rPr>
      </w:pPr>
      <w:r>
        <w:rPr>
          <w:rFonts w:ascii="TH SarabunPSK" w:hAnsi="TH SarabunPSK" w:cs="TH SarabunPSK"/>
          <w:b/>
          <w:bCs/>
          <w:sz w:val="28"/>
        </w:rPr>
        <w:t>Fig. 2</w:t>
      </w:r>
      <w:r>
        <w:rPr>
          <w:rFonts w:ascii="TH SarabunPSK" w:hAnsi="TH SarabunPSK" w:cs="TH SarabunPSK" w:hint="cs"/>
          <w:sz w:val="28"/>
          <w:cs/>
        </w:rPr>
        <w:t xml:space="preserve"> </w:t>
      </w:r>
      <w:r>
        <w:rPr>
          <w:rFonts w:ascii="TH SarabunPSK" w:hAnsi="TH SarabunPSK" w:cs="TH SarabunPSK" w:hint="cs"/>
          <w:sz w:val="28"/>
        </w:rPr>
        <w:t>FESEM images of hydroxyapatite surface at</w:t>
      </w:r>
      <w:r>
        <w:rPr>
          <w:rFonts w:ascii="TH SarabunPSK" w:hAnsi="TH SarabunPSK" w:cs="TH SarabunPSK"/>
          <w:sz w:val="28"/>
        </w:rPr>
        <w:t xml:space="preserve"> </w:t>
      </w:r>
      <w:r>
        <w:rPr>
          <w:rFonts w:ascii="TH SarabunPSK" w:hAnsi="TH SarabunPSK" w:cs="TH SarabunPSK" w:hint="cs"/>
          <w:sz w:val="28"/>
        </w:rPr>
        <w:t>50,000x magnification:</w:t>
      </w:r>
      <w:r>
        <w:rPr>
          <w:rFonts w:ascii="TH SarabunPSK" w:hAnsi="TH SarabunPSK" w:cs="TH SarabunPSK" w:hint="cs"/>
          <w:bCs/>
          <w:sz w:val="28"/>
        </w:rPr>
        <w:t xml:space="preserve"> (a) non-activated, (b) 1 M KOH 1 h, (c) 1 M KOH 5 h, (d) 3 M KOH 1 h, and (e) 3 M KOH 5 h.</w:t>
      </w:r>
    </w:p>
    <w:p w14:paraId="701D1C87" w14:textId="77777777" w:rsidR="00D669AE" w:rsidRDefault="00000000">
      <w:pPr>
        <w:jc w:val="both"/>
        <w:rPr>
          <w:rFonts w:ascii="TH SarabunPSK" w:hAnsi="TH SarabunPSK" w:cs="TH SarabunPSK"/>
          <w:bCs/>
          <w:sz w:val="28"/>
          <w:cs/>
        </w:rPr>
      </w:pPr>
      <w:r>
        <w:rPr>
          <w:rFonts w:ascii="TH SarabunPSK" w:hAnsi="TH SarabunPSK" w:cs="TH SarabunPSK" w:hint="cs"/>
          <w:b/>
          <w:bCs/>
          <w:sz w:val="28"/>
        </w:rPr>
        <w:t>Table 1.</w:t>
      </w:r>
      <w:r>
        <w:rPr>
          <w:rFonts w:ascii="TH SarabunPSK" w:hAnsi="TH SarabunPSK" w:cs="TH SarabunPSK" w:hint="cs"/>
          <w:bCs/>
          <w:sz w:val="28"/>
        </w:rPr>
        <w:t xml:space="preserve"> Iodine numbers of </w:t>
      </w:r>
      <w:proofErr w:type="spellStart"/>
      <w:r>
        <w:rPr>
          <w:rFonts w:ascii="TH SarabunPSK" w:hAnsi="TH SarabunPSK" w:cs="TH SarabunPSK" w:hint="cs"/>
          <w:bCs/>
          <w:sz w:val="28"/>
        </w:rPr>
        <w:t>HAp</w:t>
      </w:r>
      <w:proofErr w:type="spellEnd"/>
      <w:r>
        <w:rPr>
          <w:rFonts w:ascii="TH SarabunPSK" w:hAnsi="TH SarabunPSK" w:cs="TH SarabunPSK" w:hint="cs"/>
          <w:bCs/>
          <w:sz w:val="28"/>
        </w:rPr>
        <w:t xml:space="preserve"> formulations via iodometry.</w:t>
      </w:r>
    </w:p>
    <w:tbl>
      <w:tblPr>
        <w:tblW w:w="0" w:type="auto"/>
        <w:jc w:val="center"/>
        <w:tblCellMar>
          <w:top w:w="15" w:type="dxa"/>
          <w:left w:w="15" w:type="dxa"/>
          <w:bottom w:w="15" w:type="dxa"/>
          <w:right w:w="15" w:type="dxa"/>
        </w:tblCellMar>
        <w:tblLook w:val="04A0" w:firstRow="1" w:lastRow="0" w:firstColumn="1" w:lastColumn="0" w:noHBand="0" w:noVBand="1"/>
      </w:tblPr>
      <w:tblGrid>
        <w:gridCol w:w="1207"/>
        <w:gridCol w:w="1287"/>
        <w:gridCol w:w="1479"/>
      </w:tblGrid>
      <w:tr w:rsidR="00D669AE" w14:paraId="701D1C8B" w14:textId="77777777">
        <w:trPr>
          <w:trHeight w:val="20"/>
          <w:jc w:val="center"/>
        </w:trPr>
        <w:tc>
          <w:tcPr>
            <w:tcW w:w="1242" w:type="dxa"/>
            <w:tcBorders>
              <w:top w:val="single" w:sz="4" w:space="0" w:color="auto"/>
              <w:bottom w:val="single" w:sz="4" w:space="0" w:color="auto"/>
            </w:tcBorders>
            <w:tcMar>
              <w:top w:w="40" w:type="dxa"/>
              <w:left w:w="40" w:type="dxa"/>
              <w:bottom w:w="40" w:type="dxa"/>
              <w:right w:w="40" w:type="dxa"/>
            </w:tcMar>
            <w:vAlign w:val="bottom"/>
          </w:tcPr>
          <w:p w14:paraId="701D1C88" w14:textId="77777777" w:rsidR="00D669AE" w:rsidRDefault="00000000">
            <w:pPr>
              <w:jc w:val="center"/>
              <w:rPr>
                <w:rFonts w:ascii="TH SarabunPSK" w:hAnsi="TH SarabunPSK" w:cs="TH SarabunPSK"/>
                <w:b/>
                <w:color w:val="000000" w:themeColor="text1"/>
                <w:szCs w:val="22"/>
                <w:cs/>
              </w:rPr>
            </w:pPr>
            <w:r>
              <w:rPr>
                <w:rFonts w:ascii="TH SarabunPSK" w:hAnsi="TH SarabunPSK" w:cs="TH SarabunPSK" w:hint="cs"/>
                <w:b/>
                <w:color w:val="000000" w:themeColor="text1"/>
                <w:szCs w:val="22"/>
              </w:rPr>
              <w:t>Formulation</w:t>
            </w:r>
          </w:p>
        </w:tc>
        <w:tc>
          <w:tcPr>
            <w:tcW w:w="1375" w:type="dxa"/>
            <w:tcBorders>
              <w:top w:val="single" w:sz="4" w:space="0" w:color="auto"/>
              <w:bottom w:val="single" w:sz="4" w:space="0" w:color="auto"/>
            </w:tcBorders>
            <w:tcMar>
              <w:top w:w="40" w:type="dxa"/>
              <w:left w:w="40" w:type="dxa"/>
              <w:bottom w:w="40" w:type="dxa"/>
              <w:right w:w="40" w:type="dxa"/>
            </w:tcMar>
            <w:vAlign w:val="bottom"/>
          </w:tcPr>
          <w:p w14:paraId="701D1C89" w14:textId="77777777" w:rsidR="00D669AE" w:rsidRDefault="00000000">
            <w:pPr>
              <w:jc w:val="center"/>
              <w:rPr>
                <w:rFonts w:ascii="TH SarabunPSK" w:hAnsi="TH SarabunPSK" w:cs="TH SarabunPSK"/>
                <w:b/>
                <w:color w:val="000000" w:themeColor="text1"/>
                <w:szCs w:val="22"/>
              </w:rPr>
            </w:pPr>
            <w:r>
              <w:rPr>
                <w:rFonts w:ascii="TH SarabunPSK" w:hAnsi="TH SarabunPSK" w:cs="TH SarabunPSK" w:hint="cs"/>
                <w:b/>
                <w:color w:val="000000" w:themeColor="text1"/>
                <w:szCs w:val="22"/>
              </w:rPr>
              <w:t>Iodine No. (mg/g)</w:t>
            </w:r>
          </w:p>
        </w:tc>
        <w:tc>
          <w:tcPr>
            <w:tcW w:w="1558" w:type="dxa"/>
            <w:tcBorders>
              <w:top w:val="single" w:sz="4" w:space="0" w:color="auto"/>
              <w:bottom w:val="single" w:sz="4" w:space="0" w:color="auto"/>
            </w:tcBorders>
            <w:tcMar>
              <w:top w:w="40" w:type="dxa"/>
              <w:left w:w="40" w:type="dxa"/>
              <w:bottom w:w="40" w:type="dxa"/>
              <w:right w:w="40" w:type="dxa"/>
            </w:tcMar>
            <w:vAlign w:val="bottom"/>
          </w:tcPr>
          <w:p w14:paraId="701D1C8A" w14:textId="77777777" w:rsidR="00D669AE" w:rsidRDefault="00000000">
            <w:pPr>
              <w:jc w:val="center"/>
              <w:rPr>
                <w:rFonts w:ascii="TH SarabunPSK" w:hAnsi="TH SarabunPSK" w:cs="TH SarabunPSK"/>
                <w:b/>
                <w:color w:val="000000" w:themeColor="text1"/>
                <w:szCs w:val="22"/>
              </w:rPr>
            </w:pPr>
            <w:r>
              <w:rPr>
                <w:rFonts w:ascii="TH SarabunPSK" w:hAnsi="TH SarabunPSK" w:cs="TH SarabunPSK" w:hint="cs"/>
                <w:b/>
                <w:color w:val="000000" w:themeColor="text1"/>
                <w:szCs w:val="22"/>
              </w:rPr>
              <w:t>Adsorption (%)</w:t>
            </w:r>
          </w:p>
        </w:tc>
      </w:tr>
      <w:tr w:rsidR="00D669AE" w14:paraId="701D1C8F" w14:textId="77777777">
        <w:trPr>
          <w:trHeight w:val="315"/>
          <w:jc w:val="center"/>
        </w:trPr>
        <w:tc>
          <w:tcPr>
            <w:tcW w:w="1242" w:type="dxa"/>
            <w:tcBorders>
              <w:top w:val="single" w:sz="4" w:space="0" w:color="auto"/>
            </w:tcBorders>
            <w:tcMar>
              <w:top w:w="40" w:type="dxa"/>
              <w:left w:w="40" w:type="dxa"/>
              <w:bottom w:w="40" w:type="dxa"/>
              <w:right w:w="40" w:type="dxa"/>
            </w:tcMar>
            <w:vAlign w:val="bottom"/>
          </w:tcPr>
          <w:p w14:paraId="701D1C8C"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Non-activated</w:t>
            </w:r>
          </w:p>
        </w:tc>
        <w:tc>
          <w:tcPr>
            <w:tcW w:w="1375" w:type="dxa"/>
            <w:tcBorders>
              <w:top w:val="single" w:sz="4" w:space="0" w:color="auto"/>
            </w:tcBorders>
            <w:tcMar>
              <w:top w:w="40" w:type="dxa"/>
              <w:left w:w="40" w:type="dxa"/>
              <w:bottom w:w="40" w:type="dxa"/>
              <w:right w:w="40" w:type="dxa"/>
            </w:tcMar>
          </w:tcPr>
          <w:p w14:paraId="701D1C8D"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46.3965</w:t>
            </w:r>
          </w:p>
        </w:tc>
        <w:tc>
          <w:tcPr>
            <w:tcW w:w="1558" w:type="dxa"/>
            <w:tcBorders>
              <w:top w:val="single" w:sz="4" w:space="0" w:color="auto"/>
            </w:tcBorders>
            <w:tcMar>
              <w:top w:w="40" w:type="dxa"/>
              <w:left w:w="40" w:type="dxa"/>
              <w:bottom w:w="40" w:type="dxa"/>
              <w:right w:w="40" w:type="dxa"/>
            </w:tcMar>
          </w:tcPr>
          <w:p w14:paraId="701D1C8E"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45.7000</w:t>
            </w:r>
          </w:p>
        </w:tc>
      </w:tr>
      <w:tr w:rsidR="00D669AE" w14:paraId="701D1C93" w14:textId="77777777">
        <w:trPr>
          <w:trHeight w:val="315"/>
          <w:jc w:val="center"/>
        </w:trPr>
        <w:tc>
          <w:tcPr>
            <w:tcW w:w="1242" w:type="dxa"/>
            <w:tcMar>
              <w:top w:w="40" w:type="dxa"/>
              <w:left w:w="40" w:type="dxa"/>
              <w:bottom w:w="40" w:type="dxa"/>
              <w:right w:w="40" w:type="dxa"/>
            </w:tcMar>
            <w:vAlign w:val="bottom"/>
          </w:tcPr>
          <w:p w14:paraId="701D1C90"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1M 1hr.</w:t>
            </w:r>
          </w:p>
        </w:tc>
        <w:tc>
          <w:tcPr>
            <w:tcW w:w="1375" w:type="dxa"/>
            <w:tcMar>
              <w:top w:w="40" w:type="dxa"/>
              <w:left w:w="40" w:type="dxa"/>
              <w:bottom w:w="40" w:type="dxa"/>
              <w:right w:w="40" w:type="dxa"/>
            </w:tcMar>
            <w:vAlign w:val="bottom"/>
          </w:tcPr>
          <w:p w14:paraId="701D1C91"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66.4982</w:t>
            </w:r>
          </w:p>
        </w:tc>
        <w:tc>
          <w:tcPr>
            <w:tcW w:w="1558" w:type="dxa"/>
            <w:tcMar>
              <w:top w:w="40" w:type="dxa"/>
              <w:left w:w="40" w:type="dxa"/>
              <w:bottom w:w="40" w:type="dxa"/>
              <w:right w:w="40" w:type="dxa"/>
            </w:tcMar>
          </w:tcPr>
          <w:p w14:paraId="701D1C92"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65.5000</w:t>
            </w:r>
          </w:p>
        </w:tc>
      </w:tr>
      <w:tr w:rsidR="00D669AE" w14:paraId="701D1C97" w14:textId="77777777">
        <w:trPr>
          <w:trHeight w:val="315"/>
          <w:jc w:val="center"/>
        </w:trPr>
        <w:tc>
          <w:tcPr>
            <w:tcW w:w="1242" w:type="dxa"/>
            <w:tcMar>
              <w:top w:w="40" w:type="dxa"/>
              <w:left w:w="40" w:type="dxa"/>
              <w:bottom w:w="40" w:type="dxa"/>
              <w:right w:w="40" w:type="dxa"/>
            </w:tcMar>
            <w:vAlign w:val="bottom"/>
          </w:tcPr>
          <w:p w14:paraId="701D1C94"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1M 5hr.</w:t>
            </w:r>
          </w:p>
        </w:tc>
        <w:tc>
          <w:tcPr>
            <w:tcW w:w="1375" w:type="dxa"/>
            <w:tcMar>
              <w:top w:w="40" w:type="dxa"/>
              <w:left w:w="40" w:type="dxa"/>
              <w:bottom w:w="40" w:type="dxa"/>
              <w:right w:w="40" w:type="dxa"/>
            </w:tcMar>
            <w:vAlign w:val="bottom"/>
          </w:tcPr>
          <w:p w14:paraId="701D1C95"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80.8639</w:t>
            </w:r>
          </w:p>
        </w:tc>
        <w:tc>
          <w:tcPr>
            <w:tcW w:w="1558" w:type="dxa"/>
            <w:tcMar>
              <w:top w:w="40" w:type="dxa"/>
              <w:left w:w="40" w:type="dxa"/>
              <w:bottom w:w="40" w:type="dxa"/>
              <w:right w:w="40" w:type="dxa"/>
            </w:tcMar>
          </w:tcPr>
          <w:p w14:paraId="701D1C96"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79.6500</w:t>
            </w:r>
          </w:p>
        </w:tc>
      </w:tr>
      <w:tr w:rsidR="00D669AE" w14:paraId="701D1C9B" w14:textId="77777777">
        <w:trPr>
          <w:trHeight w:val="315"/>
          <w:jc w:val="center"/>
        </w:trPr>
        <w:tc>
          <w:tcPr>
            <w:tcW w:w="1242" w:type="dxa"/>
            <w:tcMar>
              <w:top w:w="40" w:type="dxa"/>
              <w:left w:w="40" w:type="dxa"/>
              <w:bottom w:w="40" w:type="dxa"/>
              <w:right w:w="40" w:type="dxa"/>
            </w:tcMar>
            <w:vAlign w:val="bottom"/>
          </w:tcPr>
          <w:p w14:paraId="701D1C98"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3M 1hr.</w:t>
            </w:r>
          </w:p>
        </w:tc>
        <w:tc>
          <w:tcPr>
            <w:tcW w:w="1375" w:type="dxa"/>
            <w:tcMar>
              <w:top w:w="40" w:type="dxa"/>
              <w:left w:w="40" w:type="dxa"/>
              <w:bottom w:w="40" w:type="dxa"/>
              <w:right w:w="40" w:type="dxa"/>
            </w:tcMar>
            <w:vAlign w:val="bottom"/>
          </w:tcPr>
          <w:p w14:paraId="701D1C99"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76.0922</w:t>
            </w:r>
          </w:p>
        </w:tc>
        <w:tc>
          <w:tcPr>
            <w:tcW w:w="1558" w:type="dxa"/>
            <w:tcMar>
              <w:top w:w="40" w:type="dxa"/>
              <w:left w:w="40" w:type="dxa"/>
              <w:bottom w:w="40" w:type="dxa"/>
              <w:right w:w="40" w:type="dxa"/>
            </w:tcMar>
          </w:tcPr>
          <w:p w14:paraId="701D1C9A"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74.9500</w:t>
            </w:r>
          </w:p>
        </w:tc>
      </w:tr>
      <w:tr w:rsidR="00D669AE" w14:paraId="701D1C9F" w14:textId="77777777">
        <w:trPr>
          <w:trHeight w:val="315"/>
          <w:jc w:val="center"/>
        </w:trPr>
        <w:tc>
          <w:tcPr>
            <w:tcW w:w="1242" w:type="dxa"/>
            <w:tcBorders>
              <w:bottom w:val="single" w:sz="4" w:space="0" w:color="auto"/>
            </w:tcBorders>
            <w:tcMar>
              <w:top w:w="40" w:type="dxa"/>
              <w:left w:w="40" w:type="dxa"/>
              <w:bottom w:w="40" w:type="dxa"/>
              <w:right w:w="40" w:type="dxa"/>
            </w:tcMar>
            <w:vAlign w:val="bottom"/>
          </w:tcPr>
          <w:p w14:paraId="701D1C9C"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3M 5hr.</w:t>
            </w:r>
          </w:p>
        </w:tc>
        <w:tc>
          <w:tcPr>
            <w:tcW w:w="1375" w:type="dxa"/>
            <w:tcBorders>
              <w:bottom w:val="single" w:sz="4" w:space="0" w:color="auto"/>
            </w:tcBorders>
            <w:tcMar>
              <w:top w:w="40" w:type="dxa"/>
              <w:left w:w="40" w:type="dxa"/>
              <w:bottom w:w="40" w:type="dxa"/>
              <w:right w:w="40" w:type="dxa"/>
            </w:tcMar>
            <w:vAlign w:val="bottom"/>
          </w:tcPr>
          <w:p w14:paraId="701D1C9D"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80.1532</w:t>
            </w:r>
          </w:p>
        </w:tc>
        <w:tc>
          <w:tcPr>
            <w:tcW w:w="1558" w:type="dxa"/>
            <w:tcBorders>
              <w:bottom w:val="single" w:sz="4" w:space="0" w:color="auto"/>
            </w:tcBorders>
            <w:tcMar>
              <w:top w:w="40" w:type="dxa"/>
              <w:left w:w="40" w:type="dxa"/>
              <w:bottom w:w="40" w:type="dxa"/>
              <w:right w:w="40" w:type="dxa"/>
            </w:tcMar>
          </w:tcPr>
          <w:p w14:paraId="701D1C9E" w14:textId="77777777" w:rsidR="00D669AE" w:rsidRDefault="00000000">
            <w:pPr>
              <w:jc w:val="center"/>
              <w:rPr>
                <w:rFonts w:ascii="TH SarabunPSK" w:hAnsi="TH SarabunPSK" w:cs="TH SarabunPSK"/>
                <w:bCs/>
                <w:color w:val="000000" w:themeColor="text1"/>
                <w:szCs w:val="22"/>
              </w:rPr>
            </w:pPr>
            <w:r>
              <w:rPr>
                <w:rFonts w:ascii="TH SarabunPSK" w:hAnsi="TH SarabunPSK" w:cs="TH SarabunPSK" w:hint="cs"/>
                <w:bCs/>
                <w:color w:val="000000" w:themeColor="text1"/>
                <w:szCs w:val="22"/>
              </w:rPr>
              <w:t>78.9500</w:t>
            </w:r>
          </w:p>
        </w:tc>
      </w:tr>
    </w:tbl>
    <w:p w14:paraId="701D1CA0" w14:textId="77777777" w:rsidR="00D669AE" w:rsidRDefault="00D669AE">
      <w:pPr>
        <w:jc w:val="both"/>
        <w:rPr>
          <w:rFonts w:ascii="TH SarabunPSK" w:hAnsi="TH SarabunPSK" w:cs="TH SarabunPSK"/>
          <w:bCs/>
          <w:sz w:val="28"/>
        </w:rPr>
      </w:pPr>
    </w:p>
    <w:p w14:paraId="701D1CA1" w14:textId="77777777" w:rsidR="00D669AE" w:rsidRDefault="00000000">
      <w:pPr>
        <w:ind w:firstLine="720"/>
        <w:jc w:val="both"/>
        <w:rPr>
          <w:rFonts w:ascii="TH SarabunPSK" w:hAnsi="TH SarabunPSK" w:cs="TH SarabunPSK"/>
          <w:b/>
          <w:sz w:val="28"/>
        </w:rPr>
      </w:pPr>
      <w:r>
        <w:rPr>
          <w:rFonts w:ascii="TH SarabunPSK" w:hAnsi="TH SarabunPSK" w:cs="TH SarabunPSK" w:hint="cs"/>
          <w:b/>
          <w:sz w:val="28"/>
        </w:rPr>
        <w:t>2)</w:t>
      </w:r>
      <w:r>
        <w:rPr>
          <w:rFonts w:ascii="TH SarabunPSK" w:hAnsi="TH SarabunPSK" w:cs="TH SarabunPSK" w:hint="cs"/>
          <w:b/>
          <w:sz w:val="28"/>
          <w:cs/>
        </w:rPr>
        <w:t xml:space="preserve"> </w:t>
      </w:r>
      <w:r>
        <w:rPr>
          <w:rFonts w:ascii="TH SarabunPSK" w:hAnsi="TH SarabunPSK" w:cs="TH SarabunPSK" w:hint="cs"/>
          <w:b/>
          <w:sz w:val="28"/>
        </w:rPr>
        <w:t>Gentamicin Loading and Release Behavior</w:t>
      </w:r>
    </w:p>
    <w:p w14:paraId="701D1CA2" w14:textId="77777777" w:rsidR="00D669AE" w:rsidRDefault="00000000">
      <w:pPr>
        <w:jc w:val="both"/>
        <w:rPr>
          <w:rFonts w:ascii="TH SarabunPSK" w:hAnsi="TH SarabunPSK" w:cs="TH SarabunPSK"/>
          <w:bCs/>
          <w:sz w:val="28"/>
        </w:rPr>
      </w:pPr>
      <w:r>
        <w:rPr>
          <w:rFonts w:ascii="TH SarabunPSK" w:hAnsi="TH SarabunPSK" w:cs="TH SarabunPSK" w:hint="cs"/>
          <w:bCs/>
          <w:sz w:val="28"/>
        </w:rPr>
        <w:t>The loading efficiency of gentamicin was found to be directly proportional to the material’s porosity. The 1 M KOH (5 h</w:t>
      </w:r>
      <w:r>
        <w:rPr>
          <w:rFonts w:ascii="TH SarabunPSK" w:hAnsi="TH SarabunPSK" w:cs="TH SarabunPSK"/>
          <w:bCs/>
          <w:sz w:val="28"/>
        </w:rPr>
        <w:t>r.</w:t>
      </w:r>
      <w:r>
        <w:rPr>
          <w:rFonts w:ascii="TH SarabunPSK" w:hAnsi="TH SarabunPSK" w:cs="TH SarabunPSK" w:hint="cs"/>
          <w:bCs/>
          <w:sz w:val="28"/>
        </w:rPr>
        <w:t xml:space="preserve">) formulation encapsulated the highest amount of gentamicin, achieving an optimal balance between porosity enhancement and structural stability. </w:t>
      </w:r>
    </w:p>
    <w:p w14:paraId="701D1CA3" w14:textId="77777777" w:rsidR="00D669AE" w:rsidRDefault="00000000">
      <w:pPr>
        <w:rPr>
          <w:rFonts w:ascii="TH SarabunPSK" w:hAnsi="TH SarabunPSK" w:cs="TH SarabunPSK"/>
          <w:color w:val="000000" w:themeColor="text1"/>
          <w:sz w:val="18"/>
          <w:szCs w:val="18"/>
          <w:cs/>
        </w:rPr>
      </w:pPr>
      <w:r>
        <w:rPr>
          <w:rFonts w:ascii="TH SarabunPSK" w:hAnsi="TH SarabunPSK" w:cs="TH SarabunPSK" w:hint="cs"/>
          <w:b/>
          <w:sz w:val="28"/>
        </w:rPr>
        <w:t xml:space="preserve">Table </w:t>
      </w:r>
      <w:proofErr w:type="gramStart"/>
      <w:r>
        <w:rPr>
          <w:rFonts w:ascii="TH SarabunPSK" w:hAnsi="TH SarabunPSK" w:cs="TH SarabunPSK" w:hint="cs"/>
          <w:b/>
          <w:sz w:val="28"/>
        </w:rPr>
        <w:t>2</w:t>
      </w:r>
      <w:r>
        <w:rPr>
          <w:rFonts w:ascii="TH SarabunPSK" w:hAnsi="TH SarabunPSK" w:cs="TH SarabunPSK" w:hint="cs"/>
          <w:b/>
          <w:bCs/>
          <w:sz w:val="28"/>
          <w:cs/>
        </w:rPr>
        <w:t>.</w:t>
      </w:r>
      <w:r>
        <w:rPr>
          <w:rFonts w:ascii="TH SarabunPSK" w:hAnsi="TH SarabunPSK" w:cs="TH SarabunPSK" w:hint="cs"/>
          <w:color w:val="000000" w:themeColor="text1"/>
          <w:sz w:val="28"/>
        </w:rPr>
        <w:t>Gentamicin</w:t>
      </w:r>
      <w:proofErr w:type="gramEnd"/>
      <w:r>
        <w:rPr>
          <w:rFonts w:ascii="TH SarabunPSK" w:hAnsi="TH SarabunPSK" w:cs="TH SarabunPSK" w:hint="cs"/>
          <w:color w:val="000000" w:themeColor="text1"/>
          <w:sz w:val="28"/>
        </w:rPr>
        <w:t xml:space="preserve"> encapsulation efficiency of </w:t>
      </w:r>
      <w:proofErr w:type="spellStart"/>
      <w:r>
        <w:rPr>
          <w:rFonts w:ascii="TH SarabunPSK" w:hAnsi="TH SarabunPSK" w:cs="TH SarabunPSK" w:hint="cs"/>
          <w:color w:val="000000" w:themeColor="text1"/>
          <w:sz w:val="28"/>
        </w:rPr>
        <w:t>HAp</w:t>
      </w:r>
      <w:proofErr w:type="spellEnd"/>
      <w:r>
        <w:rPr>
          <w:rFonts w:ascii="TH SarabunPSK" w:hAnsi="TH SarabunPSK" w:cs="TH SarabunPSK" w:hint="cs"/>
          <w:color w:val="000000" w:themeColor="text1"/>
          <w:sz w:val="28"/>
        </w:rPr>
        <w:t xml:space="preserve"> pellets.</w:t>
      </w:r>
    </w:p>
    <w:tbl>
      <w:tblPr>
        <w:tblW w:w="0" w:type="auto"/>
        <w:jc w:val="center"/>
        <w:tblCellMar>
          <w:top w:w="15" w:type="dxa"/>
          <w:left w:w="15" w:type="dxa"/>
          <w:bottom w:w="15" w:type="dxa"/>
          <w:right w:w="15" w:type="dxa"/>
        </w:tblCellMar>
        <w:tblLook w:val="04A0" w:firstRow="1" w:lastRow="0" w:firstColumn="1" w:lastColumn="0" w:noHBand="0" w:noVBand="1"/>
      </w:tblPr>
      <w:tblGrid>
        <w:gridCol w:w="1320"/>
        <w:gridCol w:w="1396"/>
        <w:gridCol w:w="1257"/>
      </w:tblGrid>
      <w:tr w:rsidR="00D669AE" w14:paraId="701D1CA7" w14:textId="77777777">
        <w:trPr>
          <w:trHeight w:val="382"/>
          <w:jc w:val="center"/>
        </w:trPr>
        <w:tc>
          <w:tcPr>
            <w:tcW w:w="2880" w:type="dxa"/>
            <w:tcBorders>
              <w:top w:val="single" w:sz="4" w:space="0" w:color="auto"/>
              <w:bottom w:val="single" w:sz="4" w:space="0" w:color="auto"/>
            </w:tcBorders>
            <w:tcMar>
              <w:top w:w="40" w:type="dxa"/>
              <w:left w:w="40" w:type="dxa"/>
              <w:bottom w:w="40" w:type="dxa"/>
              <w:right w:w="40" w:type="dxa"/>
            </w:tcMar>
            <w:vAlign w:val="bottom"/>
          </w:tcPr>
          <w:p w14:paraId="701D1CA4" w14:textId="77777777" w:rsidR="00D669AE" w:rsidRDefault="00000000">
            <w:pPr>
              <w:jc w:val="center"/>
              <w:rPr>
                <w:rFonts w:ascii="TH SarabunPSK" w:hAnsi="TH SarabunPSK" w:cs="TH SarabunPSK"/>
                <w:b/>
                <w:bCs/>
                <w:color w:val="000000" w:themeColor="text1"/>
                <w:sz w:val="18"/>
                <w:szCs w:val="18"/>
                <w:cs/>
              </w:rPr>
            </w:pPr>
            <w:r>
              <w:rPr>
                <w:rFonts w:ascii="TH SarabunPSK" w:hAnsi="TH SarabunPSK" w:cs="TH SarabunPSK" w:hint="cs"/>
                <w:b/>
                <w:bCs/>
                <w:color w:val="000000" w:themeColor="text1"/>
                <w:sz w:val="18"/>
                <w:szCs w:val="18"/>
              </w:rPr>
              <w:t>Formulation</w:t>
            </w:r>
          </w:p>
        </w:tc>
        <w:tc>
          <w:tcPr>
            <w:tcW w:w="2970" w:type="dxa"/>
            <w:tcBorders>
              <w:top w:val="single" w:sz="4" w:space="0" w:color="auto"/>
              <w:bottom w:val="single" w:sz="4" w:space="0" w:color="auto"/>
            </w:tcBorders>
            <w:tcMar>
              <w:top w:w="40" w:type="dxa"/>
              <w:left w:w="40" w:type="dxa"/>
              <w:bottom w:w="40" w:type="dxa"/>
              <w:right w:w="40" w:type="dxa"/>
            </w:tcMar>
            <w:vAlign w:val="bottom"/>
          </w:tcPr>
          <w:p w14:paraId="701D1CA5" w14:textId="77777777" w:rsidR="00D669AE" w:rsidRDefault="00000000">
            <w:pPr>
              <w:jc w:val="center"/>
              <w:rPr>
                <w:rFonts w:ascii="TH SarabunPSK" w:hAnsi="TH SarabunPSK" w:cs="TH SarabunPSK"/>
                <w:b/>
                <w:bCs/>
                <w:color w:val="000000" w:themeColor="text1"/>
                <w:sz w:val="18"/>
                <w:szCs w:val="18"/>
                <w:cs/>
              </w:rPr>
            </w:pPr>
            <w:r>
              <w:rPr>
                <w:rFonts w:ascii="TH SarabunPSK" w:hAnsi="TH SarabunPSK" w:cs="TH SarabunPSK" w:hint="cs"/>
                <w:b/>
                <w:bCs/>
                <w:color w:val="000000" w:themeColor="text1"/>
                <w:sz w:val="18"/>
                <w:szCs w:val="18"/>
              </w:rPr>
              <w:t>Amount Encapsulated per Pellet (mg)</w:t>
            </w:r>
          </w:p>
        </w:tc>
        <w:tc>
          <w:tcPr>
            <w:tcW w:w="2335" w:type="dxa"/>
            <w:tcBorders>
              <w:top w:val="single" w:sz="4" w:space="0" w:color="auto"/>
              <w:bottom w:val="single" w:sz="4" w:space="0" w:color="auto"/>
            </w:tcBorders>
            <w:tcMar>
              <w:top w:w="40" w:type="dxa"/>
              <w:left w:w="40" w:type="dxa"/>
              <w:bottom w:w="40" w:type="dxa"/>
              <w:right w:w="40" w:type="dxa"/>
            </w:tcMar>
            <w:vAlign w:val="bottom"/>
          </w:tcPr>
          <w:p w14:paraId="701D1CA6" w14:textId="77777777" w:rsidR="00D669AE" w:rsidRDefault="00000000">
            <w:pPr>
              <w:jc w:val="center"/>
              <w:rPr>
                <w:rFonts w:ascii="TH SarabunPSK" w:hAnsi="TH SarabunPSK" w:cs="TH SarabunPSK"/>
                <w:b/>
                <w:bCs/>
                <w:color w:val="000000" w:themeColor="text1"/>
                <w:sz w:val="18"/>
                <w:szCs w:val="18"/>
              </w:rPr>
            </w:pPr>
            <w:r>
              <w:rPr>
                <w:rFonts w:ascii="TH SarabunPSK" w:hAnsi="TH SarabunPSK" w:cs="TH SarabunPSK" w:hint="cs"/>
                <w:b/>
                <w:bCs/>
                <w:color w:val="000000" w:themeColor="text1"/>
                <w:sz w:val="18"/>
                <w:szCs w:val="18"/>
              </w:rPr>
              <w:t>Encapsulation Efficiency (%)</w:t>
            </w:r>
          </w:p>
        </w:tc>
      </w:tr>
      <w:tr w:rsidR="00D669AE" w14:paraId="701D1CAB" w14:textId="77777777">
        <w:trPr>
          <w:trHeight w:val="315"/>
          <w:jc w:val="center"/>
        </w:trPr>
        <w:tc>
          <w:tcPr>
            <w:tcW w:w="2880" w:type="dxa"/>
            <w:tcBorders>
              <w:top w:val="single" w:sz="4" w:space="0" w:color="auto"/>
            </w:tcBorders>
            <w:tcMar>
              <w:top w:w="40" w:type="dxa"/>
              <w:left w:w="40" w:type="dxa"/>
              <w:bottom w:w="40" w:type="dxa"/>
              <w:right w:w="40" w:type="dxa"/>
            </w:tcMar>
            <w:vAlign w:val="bottom"/>
          </w:tcPr>
          <w:p w14:paraId="701D1CA8" w14:textId="77777777" w:rsidR="00D669AE" w:rsidRDefault="00000000">
            <w:pPr>
              <w:jc w:val="center"/>
              <w:rPr>
                <w:rFonts w:ascii="TH SarabunPSK" w:hAnsi="TH SarabunPSK" w:cs="TH SarabunPSK"/>
                <w:color w:val="000000" w:themeColor="text1"/>
                <w:sz w:val="18"/>
                <w:szCs w:val="18"/>
                <w:cs/>
              </w:rPr>
            </w:pPr>
            <w:r>
              <w:rPr>
                <w:rFonts w:ascii="TH SarabunPSK" w:hAnsi="TH SarabunPSK" w:cs="TH SarabunPSK" w:hint="cs"/>
                <w:color w:val="000000" w:themeColor="text1"/>
                <w:sz w:val="18"/>
                <w:szCs w:val="18"/>
              </w:rPr>
              <w:t>Non-activated</w:t>
            </w:r>
          </w:p>
        </w:tc>
        <w:tc>
          <w:tcPr>
            <w:tcW w:w="2970" w:type="dxa"/>
            <w:tcBorders>
              <w:top w:val="single" w:sz="4" w:space="0" w:color="auto"/>
            </w:tcBorders>
          </w:tcPr>
          <w:p w14:paraId="701D1CA9"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0.3968</w:t>
            </w:r>
          </w:p>
        </w:tc>
        <w:tc>
          <w:tcPr>
            <w:tcW w:w="2335" w:type="dxa"/>
            <w:tcBorders>
              <w:top w:val="single" w:sz="4" w:space="0" w:color="auto"/>
            </w:tcBorders>
          </w:tcPr>
          <w:p w14:paraId="701D1CAA"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49.6009</w:t>
            </w:r>
          </w:p>
        </w:tc>
      </w:tr>
      <w:tr w:rsidR="00D669AE" w14:paraId="701D1CAF" w14:textId="77777777">
        <w:trPr>
          <w:trHeight w:val="315"/>
          <w:jc w:val="center"/>
        </w:trPr>
        <w:tc>
          <w:tcPr>
            <w:tcW w:w="2880" w:type="dxa"/>
            <w:tcMar>
              <w:top w:w="40" w:type="dxa"/>
              <w:left w:w="40" w:type="dxa"/>
              <w:bottom w:w="40" w:type="dxa"/>
              <w:right w:w="40" w:type="dxa"/>
            </w:tcMar>
            <w:vAlign w:val="bottom"/>
          </w:tcPr>
          <w:p w14:paraId="701D1CAC"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1M 1hr.</w:t>
            </w:r>
          </w:p>
        </w:tc>
        <w:tc>
          <w:tcPr>
            <w:tcW w:w="2970" w:type="dxa"/>
            <w:tcMar>
              <w:top w:w="40" w:type="dxa"/>
              <w:left w:w="40" w:type="dxa"/>
              <w:bottom w:w="40" w:type="dxa"/>
              <w:right w:w="40" w:type="dxa"/>
            </w:tcMar>
          </w:tcPr>
          <w:p w14:paraId="701D1CAD"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0.5401</w:t>
            </w:r>
          </w:p>
        </w:tc>
        <w:tc>
          <w:tcPr>
            <w:tcW w:w="2335" w:type="dxa"/>
            <w:tcMar>
              <w:top w:w="40" w:type="dxa"/>
              <w:left w:w="40" w:type="dxa"/>
              <w:bottom w:w="40" w:type="dxa"/>
              <w:right w:w="40" w:type="dxa"/>
            </w:tcMar>
          </w:tcPr>
          <w:p w14:paraId="701D1CAE"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67.5136</w:t>
            </w:r>
          </w:p>
        </w:tc>
      </w:tr>
      <w:tr w:rsidR="00D669AE" w14:paraId="701D1CB3" w14:textId="77777777">
        <w:trPr>
          <w:trHeight w:val="315"/>
          <w:jc w:val="center"/>
        </w:trPr>
        <w:tc>
          <w:tcPr>
            <w:tcW w:w="2880" w:type="dxa"/>
            <w:tcMar>
              <w:top w:w="40" w:type="dxa"/>
              <w:left w:w="40" w:type="dxa"/>
              <w:bottom w:w="40" w:type="dxa"/>
              <w:right w:w="40" w:type="dxa"/>
            </w:tcMar>
            <w:vAlign w:val="bottom"/>
          </w:tcPr>
          <w:p w14:paraId="701D1CB0"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1M 5hr.</w:t>
            </w:r>
          </w:p>
        </w:tc>
        <w:tc>
          <w:tcPr>
            <w:tcW w:w="2970" w:type="dxa"/>
            <w:tcMar>
              <w:top w:w="40" w:type="dxa"/>
              <w:left w:w="40" w:type="dxa"/>
              <w:bottom w:w="40" w:type="dxa"/>
              <w:right w:w="40" w:type="dxa"/>
            </w:tcMar>
          </w:tcPr>
          <w:p w14:paraId="701D1CB1"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0.6599</w:t>
            </w:r>
          </w:p>
        </w:tc>
        <w:tc>
          <w:tcPr>
            <w:tcW w:w="2335" w:type="dxa"/>
            <w:tcMar>
              <w:top w:w="40" w:type="dxa"/>
              <w:left w:w="40" w:type="dxa"/>
              <w:bottom w:w="40" w:type="dxa"/>
              <w:right w:w="40" w:type="dxa"/>
            </w:tcMar>
          </w:tcPr>
          <w:p w14:paraId="701D1CB2"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82.4924</w:t>
            </w:r>
          </w:p>
        </w:tc>
      </w:tr>
      <w:tr w:rsidR="00D669AE" w14:paraId="701D1CB7" w14:textId="77777777">
        <w:trPr>
          <w:trHeight w:val="315"/>
          <w:jc w:val="center"/>
        </w:trPr>
        <w:tc>
          <w:tcPr>
            <w:tcW w:w="2880" w:type="dxa"/>
            <w:tcMar>
              <w:top w:w="40" w:type="dxa"/>
              <w:left w:w="40" w:type="dxa"/>
              <w:bottom w:w="40" w:type="dxa"/>
              <w:right w:w="40" w:type="dxa"/>
            </w:tcMar>
            <w:vAlign w:val="bottom"/>
          </w:tcPr>
          <w:p w14:paraId="701D1CB4"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3M 1hr.</w:t>
            </w:r>
          </w:p>
        </w:tc>
        <w:tc>
          <w:tcPr>
            <w:tcW w:w="2970" w:type="dxa"/>
            <w:tcMar>
              <w:top w:w="40" w:type="dxa"/>
              <w:left w:w="40" w:type="dxa"/>
              <w:bottom w:w="40" w:type="dxa"/>
              <w:right w:w="40" w:type="dxa"/>
            </w:tcMar>
          </w:tcPr>
          <w:p w14:paraId="701D1CB5"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0.6094</w:t>
            </w:r>
          </w:p>
        </w:tc>
        <w:tc>
          <w:tcPr>
            <w:tcW w:w="2335" w:type="dxa"/>
            <w:tcMar>
              <w:top w:w="40" w:type="dxa"/>
              <w:left w:w="40" w:type="dxa"/>
              <w:bottom w:w="40" w:type="dxa"/>
              <w:right w:w="40" w:type="dxa"/>
            </w:tcMar>
          </w:tcPr>
          <w:p w14:paraId="701D1CB6"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76.1772</w:t>
            </w:r>
          </w:p>
        </w:tc>
      </w:tr>
      <w:tr w:rsidR="00D669AE" w14:paraId="701D1CBB" w14:textId="77777777">
        <w:trPr>
          <w:trHeight w:val="315"/>
          <w:jc w:val="center"/>
        </w:trPr>
        <w:tc>
          <w:tcPr>
            <w:tcW w:w="2880" w:type="dxa"/>
            <w:tcBorders>
              <w:bottom w:val="single" w:sz="4" w:space="0" w:color="auto"/>
            </w:tcBorders>
            <w:tcMar>
              <w:top w:w="40" w:type="dxa"/>
              <w:left w:w="40" w:type="dxa"/>
              <w:bottom w:w="40" w:type="dxa"/>
              <w:right w:w="40" w:type="dxa"/>
            </w:tcMar>
            <w:vAlign w:val="bottom"/>
          </w:tcPr>
          <w:p w14:paraId="701D1CB8"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3M 5hr.</w:t>
            </w:r>
          </w:p>
        </w:tc>
        <w:tc>
          <w:tcPr>
            <w:tcW w:w="2970" w:type="dxa"/>
            <w:tcBorders>
              <w:bottom w:val="single" w:sz="4" w:space="0" w:color="auto"/>
            </w:tcBorders>
            <w:tcMar>
              <w:top w:w="40" w:type="dxa"/>
              <w:left w:w="40" w:type="dxa"/>
              <w:bottom w:w="40" w:type="dxa"/>
              <w:right w:w="40" w:type="dxa"/>
            </w:tcMar>
          </w:tcPr>
          <w:p w14:paraId="701D1CB9"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0.6482</w:t>
            </w:r>
          </w:p>
        </w:tc>
        <w:tc>
          <w:tcPr>
            <w:tcW w:w="2335" w:type="dxa"/>
            <w:tcBorders>
              <w:bottom w:val="single" w:sz="4" w:space="0" w:color="auto"/>
            </w:tcBorders>
            <w:tcMar>
              <w:top w:w="40" w:type="dxa"/>
              <w:left w:w="40" w:type="dxa"/>
              <w:bottom w:w="40" w:type="dxa"/>
              <w:right w:w="40" w:type="dxa"/>
            </w:tcMar>
          </w:tcPr>
          <w:p w14:paraId="701D1CBA" w14:textId="77777777" w:rsidR="00D669AE" w:rsidRDefault="00000000">
            <w:pPr>
              <w:jc w:val="center"/>
              <w:rPr>
                <w:rFonts w:ascii="TH SarabunPSK" w:hAnsi="TH SarabunPSK" w:cs="TH SarabunPSK"/>
                <w:color w:val="000000" w:themeColor="text1"/>
                <w:sz w:val="18"/>
                <w:szCs w:val="18"/>
              </w:rPr>
            </w:pPr>
            <w:r>
              <w:rPr>
                <w:rFonts w:ascii="TH SarabunPSK" w:hAnsi="TH SarabunPSK" w:cs="TH SarabunPSK" w:hint="cs"/>
                <w:color w:val="000000" w:themeColor="text1"/>
                <w:sz w:val="18"/>
                <w:szCs w:val="18"/>
              </w:rPr>
              <w:t>81.0276</w:t>
            </w:r>
          </w:p>
        </w:tc>
      </w:tr>
    </w:tbl>
    <w:p w14:paraId="701D1CBC" w14:textId="77777777" w:rsidR="00D669AE" w:rsidRDefault="00D669AE">
      <w:pPr>
        <w:jc w:val="both"/>
        <w:rPr>
          <w:rFonts w:ascii="TH SarabunPSK" w:hAnsi="TH SarabunPSK" w:cs="TH SarabunPSK"/>
          <w:b/>
          <w:sz w:val="18"/>
          <w:szCs w:val="18"/>
        </w:rPr>
      </w:pPr>
    </w:p>
    <w:p w14:paraId="701D1CBD" w14:textId="77777777" w:rsidR="00D669AE" w:rsidRDefault="00000000">
      <w:pPr>
        <w:jc w:val="both"/>
        <w:rPr>
          <w:rFonts w:ascii="TH SarabunPSK" w:hAnsi="TH SarabunPSK" w:cs="TH SarabunPSK"/>
          <w:bCs/>
          <w:sz w:val="28"/>
        </w:rPr>
      </w:pPr>
      <w:r>
        <w:rPr>
          <w:rFonts w:ascii="TH SarabunPSK" w:hAnsi="TH SarabunPSK" w:cs="TH SarabunPSK" w:hint="cs"/>
          <w:bCs/>
          <w:sz w:val="28"/>
        </w:rPr>
        <w:t xml:space="preserve">In vitro studies demonstrated a significant burst release in both simulated body fluid (SBF) and distilled water during the initial 72–96 hours, followed by a sustained and gradual release phase. The release rate was slightly higher in distilled water than in SBF. </w:t>
      </w:r>
    </w:p>
    <w:p w14:paraId="364EDF9F" w14:textId="77777777" w:rsidR="0076379B" w:rsidRDefault="0076379B">
      <w:pPr>
        <w:jc w:val="both"/>
        <w:rPr>
          <w:rFonts w:ascii="TH SarabunPSK" w:hAnsi="TH SarabunPSK" w:cs="TH SarabunPSK"/>
          <w:bCs/>
          <w:sz w:val="28"/>
        </w:rPr>
      </w:pPr>
    </w:p>
    <w:p w14:paraId="3EB82F5A" w14:textId="5A30D36D" w:rsidR="00AD2CFF" w:rsidRPr="00AD2CFF" w:rsidRDefault="00C126FF" w:rsidP="00AD2CFF">
      <w:pPr>
        <w:jc w:val="both"/>
        <w:rPr>
          <w:caps/>
        </w:rPr>
      </w:pPr>
      <w:r>
        <w:rPr>
          <w:rFonts w:ascii="TH SarabunPSK" w:hAnsi="TH SarabunPSK" w:cs="TH SarabunPSK"/>
          <w:noProof/>
          <w:sz w:val="28"/>
        </w:rPr>
        <w:lastRenderedPageBreak/>
        <w:drawing>
          <wp:inline distT="0" distB="0" distL="0" distR="0" wp14:anchorId="6148B325" wp14:editId="35335E0E">
            <wp:extent cx="2751832" cy="1701800"/>
            <wp:effectExtent l="0" t="0" r="0" b="0"/>
            <wp:docPr id="167563506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35069" name="รูปภาพ 16756350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3681" cy="1709127"/>
                    </a:xfrm>
                    <a:prstGeom prst="rect">
                      <a:avLst/>
                    </a:prstGeom>
                  </pic:spPr>
                </pic:pic>
              </a:graphicData>
            </a:graphic>
          </wp:inline>
        </w:drawing>
      </w:r>
      <w:r w:rsidR="00000000">
        <w:rPr>
          <w:rFonts w:ascii="TH SarabunPSK" w:hAnsi="TH SarabunPSK" w:cs="TH SarabunPSK"/>
          <w:b/>
          <w:bCs/>
          <w:sz w:val="28"/>
        </w:rPr>
        <w:t>Fig.</w:t>
      </w:r>
      <w:proofErr w:type="gramStart"/>
      <w:r w:rsidR="00000000">
        <w:rPr>
          <w:rFonts w:ascii="TH SarabunPSK" w:hAnsi="TH SarabunPSK" w:cs="TH SarabunPSK"/>
          <w:b/>
          <w:bCs/>
          <w:sz w:val="28"/>
        </w:rPr>
        <w:t xml:space="preserve">3 </w:t>
      </w:r>
      <w:r w:rsidR="00000000">
        <w:rPr>
          <w:rFonts w:ascii="TH SarabunPSK" w:hAnsi="TH SarabunPSK" w:cs="TH SarabunPSK"/>
          <w:sz w:val="28"/>
        </w:rPr>
        <w:t xml:space="preserve"> The</w:t>
      </w:r>
      <w:proofErr w:type="gramEnd"/>
      <w:r w:rsidR="00000000">
        <w:rPr>
          <w:rFonts w:ascii="TH SarabunPSK" w:hAnsi="TH SarabunPSK" w:cs="TH SarabunPSK"/>
          <w:sz w:val="28"/>
        </w:rPr>
        <w:t xml:space="preserve"> release rate of Gentamicin from a hydroxyapatite - base tablet in water per tablet over a period of 7 days.</w:t>
      </w:r>
    </w:p>
    <w:p w14:paraId="66BDE8CE" w14:textId="77777777" w:rsidR="00AD2CFF" w:rsidRDefault="00B16152">
      <w:pPr>
        <w:jc w:val="both"/>
        <w:rPr>
          <w:rFonts w:ascii="TH SarabunPSK" w:hAnsi="TH SarabunPSK" w:cs="TH SarabunPSK"/>
          <w:bCs/>
          <w:sz w:val="28"/>
        </w:rPr>
      </w:pPr>
      <w:r>
        <w:rPr>
          <w:rFonts w:ascii="TH SarabunPSK" w:hAnsi="TH SarabunPSK" w:cs="TH SarabunPSK"/>
          <w:bCs/>
          <w:noProof/>
          <w:sz w:val="28"/>
        </w:rPr>
        <w:drawing>
          <wp:inline distT="0" distB="0" distL="0" distR="0" wp14:anchorId="0DB21ED6" wp14:editId="1D043FEA">
            <wp:extent cx="2597150" cy="1606141"/>
            <wp:effectExtent l="0" t="0" r="0" b="0"/>
            <wp:docPr id="113445826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58264" name="รูปภาพ 11344582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7150" cy="1606141"/>
                    </a:xfrm>
                    <a:prstGeom prst="rect">
                      <a:avLst/>
                    </a:prstGeom>
                  </pic:spPr>
                </pic:pic>
              </a:graphicData>
            </a:graphic>
          </wp:inline>
        </w:drawing>
      </w:r>
    </w:p>
    <w:p w14:paraId="46D17A52" w14:textId="1E793076" w:rsidR="00AD2CFF" w:rsidRPr="00AD2CFF" w:rsidRDefault="00000000">
      <w:pPr>
        <w:jc w:val="both"/>
        <w:rPr>
          <w:rFonts w:ascii="TH SarabunPSK" w:hAnsi="TH SarabunPSK" w:cs="TH SarabunPSK"/>
          <w:sz w:val="28"/>
        </w:rPr>
      </w:pPr>
      <w:r>
        <w:rPr>
          <w:rFonts w:ascii="TH SarabunPSK" w:hAnsi="TH SarabunPSK" w:cs="TH SarabunPSK"/>
          <w:b/>
          <w:bCs/>
          <w:sz w:val="28"/>
        </w:rPr>
        <w:t xml:space="preserve">Fig. 4 </w:t>
      </w:r>
      <w:r>
        <w:rPr>
          <w:rFonts w:ascii="TH SarabunPSK" w:hAnsi="TH SarabunPSK" w:cs="TH SarabunPSK"/>
          <w:sz w:val="28"/>
        </w:rPr>
        <w:t xml:space="preserve">The release rate of gentamicin from a single hydroxyapatite-base tablet in simulated body fluid (SBF) over a period </w:t>
      </w:r>
      <w:proofErr w:type="gramStart"/>
      <w:r>
        <w:rPr>
          <w:rFonts w:ascii="TH SarabunPSK" w:hAnsi="TH SarabunPSK" w:cs="TH SarabunPSK"/>
          <w:sz w:val="28"/>
        </w:rPr>
        <w:t>of &amp; days</w:t>
      </w:r>
      <w:proofErr w:type="gramEnd"/>
    </w:p>
    <w:p w14:paraId="701D1CC5" w14:textId="60853E5A" w:rsidR="00D669AE" w:rsidRDefault="00AD2CFF">
      <w:pPr>
        <w:jc w:val="both"/>
        <w:rPr>
          <w:rFonts w:ascii="TH SarabunPSK" w:hAnsi="TH SarabunPSK" w:cs="TH SarabunPSK"/>
          <w:sz w:val="28"/>
        </w:rPr>
      </w:pPr>
      <w:r>
        <w:rPr>
          <w:rFonts w:ascii="TH SarabunPSK" w:hAnsi="TH SarabunPSK" w:cs="TH SarabunPSK"/>
          <w:noProof/>
          <w:sz w:val="28"/>
        </w:rPr>
        <w:drawing>
          <wp:inline distT="0" distB="0" distL="0" distR="0" wp14:anchorId="27785483" wp14:editId="26346612">
            <wp:extent cx="2721028" cy="1682750"/>
            <wp:effectExtent l="0" t="0" r="3175" b="0"/>
            <wp:docPr id="828032869"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32869" name="รูปภาพ 828032869"/>
                    <pic:cNvPicPr/>
                  </pic:nvPicPr>
                  <pic:blipFill>
                    <a:blip r:embed="rId13">
                      <a:extLst>
                        <a:ext uri="{28A0092B-C50C-407E-A947-70E740481C1C}">
                          <a14:useLocalDpi xmlns:a14="http://schemas.microsoft.com/office/drawing/2010/main" val="0"/>
                        </a:ext>
                      </a:extLst>
                    </a:blip>
                    <a:stretch>
                      <a:fillRect/>
                    </a:stretch>
                  </pic:blipFill>
                  <pic:spPr>
                    <a:xfrm>
                      <a:off x="0" y="0"/>
                      <a:ext cx="2724959" cy="1685181"/>
                    </a:xfrm>
                    <a:prstGeom prst="rect">
                      <a:avLst/>
                    </a:prstGeom>
                  </pic:spPr>
                </pic:pic>
              </a:graphicData>
            </a:graphic>
          </wp:inline>
        </w:drawing>
      </w:r>
      <w:r w:rsidR="00000000">
        <w:rPr>
          <w:rFonts w:ascii="TH SarabunPSK" w:hAnsi="TH SarabunPSK" w:cs="TH SarabunPSK" w:hint="cs"/>
          <w:b/>
          <w:bCs/>
          <w:sz w:val="28"/>
        </w:rPr>
        <w:t>Fig.</w:t>
      </w:r>
      <w:r w:rsidR="00000000">
        <w:rPr>
          <w:rFonts w:ascii="TH SarabunPSK" w:hAnsi="TH SarabunPSK" w:cs="TH SarabunPSK"/>
          <w:b/>
          <w:bCs/>
          <w:sz w:val="28"/>
        </w:rPr>
        <w:t xml:space="preserve"> 5</w:t>
      </w:r>
      <w:r w:rsidR="00000000">
        <w:rPr>
          <w:rFonts w:ascii="TH SarabunPSK" w:hAnsi="TH SarabunPSK" w:cs="TH SarabunPSK" w:hint="cs"/>
          <w:sz w:val="28"/>
        </w:rPr>
        <w:t xml:space="preserve"> Percentage of cumulative gentamicin release from </w:t>
      </w:r>
      <w:proofErr w:type="spellStart"/>
      <w:r w:rsidR="00000000">
        <w:rPr>
          <w:rFonts w:ascii="TH SarabunPSK" w:hAnsi="TH SarabunPSK" w:cs="TH SarabunPSK" w:hint="cs"/>
          <w:sz w:val="28"/>
        </w:rPr>
        <w:t>HAp</w:t>
      </w:r>
      <w:proofErr w:type="spellEnd"/>
      <w:r w:rsidR="00000000">
        <w:rPr>
          <w:rFonts w:ascii="TH SarabunPSK" w:hAnsi="TH SarabunPSK" w:cs="TH SarabunPSK" w:hint="cs"/>
          <w:sz w:val="28"/>
        </w:rPr>
        <w:t xml:space="preserve"> pellets in distilled water over a 7-day period.</w:t>
      </w:r>
    </w:p>
    <w:p w14:paraId="701D1CC7" w14:textId="6660F72C" w:rsidR="00D669AE" w:rsidRPr="00AD2CFF" w:rsidRDefault="00000000" w:rsidP="00AD2CFF">
      <w:pPr>
        <w:jc w:val="both"/>
        <w:rPr>
          <w:rFonts w:ascii="TH SarabunPSK" w:hAnsi="TH SarabunPSK" w:cs="TH SarabunPSK"/>
          <w:bCs/>
          <w:sz w:val="28"/>
        </w:rPr>
      </w:pPr>
      <w:r>
        <w:rPr>
          <w:rFonts w:ascii="TH SarabunPSK" w:hAnsi="TH SarabunPSK" w:cs="TH SarabunPSK" w:hint="cs"/>
          <w:bCs/>
          <w:noProof/>
          <w:sz w:val="28"/>
        </w:rPr>
        <w:drawing>
          <wp:inline distT="0" distB="0" distL="0" distR="0" wp14:anchorId="701D1CE4" wp14:editId="7B23D7E8">
            <wp:extent cx="2651125" cy="1656080"/>
            <wp:effectExtent l="0" t="0" r="0" b="1270"/>
            <wp:docPr id="1100397236"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7236" name="รูปภาพ 4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1125" cy="1656080"/>
                    </a:xfrm>
                    <a:prstGeom prst="rect">
                      <a:avLst/>
                    </a:prstGeom>
                  </pic:spPr>
                </pic:pic>
              </a:graphicData>
            </a:graphic>
          </wp:inline>
        </w:drawing>
      </w:r>
      <w:r>
        <w:rPr>
          <w:rFonts w:ascii="TH SarabunPSK" w:hAnsi="TH SarabunPSK" w:cs="TH SarabunPSK" w:hint="cs"/>
          <w:b/>
          <w:bCs/>
          <w:sz w:val="28"/>
        </w:rPr>
        <w:t>Fig.</w:t>
      </w:r>
      <w:r>
        <w:rPr>
          <w:rFonts w:ascii="TH SarabunPSK" w:hAnsi="TH SarabunPSK" w:cs="TH SarabunPSK"/>
          <w:b/>
          <w:bCs/>
          <w:sz w:val="28"/>
        </w:rPr>
        <w:t xml:space="preserve"> 6</w:t>
      </w:r>
      <w:r>
        <w:rPr>
          <w:rFonts w:ascii="TH SarabunPSK" w:hAnsi="TH SarabunPSK" w:cs="TH SarabunPSK" w:hint="cs"/>
          <w:sz w:val="28"/>
        </w:rPr>
        <w:t xml:space="preserve"> Percentage of cumulative gentamicin release from </w:t>
      </w:r>
      <w:proofErr w:type="spellStart"/>
      <w:r>
        <w:rPr>
          <w:rFonts w:ascii="TH SarabunPSK" w:hAnsi="TH SarabunPSK" w:cs="TH SarabunPSK" w:hint="cs"/>
          <w:sz w:val="28"/>
        </w:rPr>
        <w:t>HAp</w:t>
      </w:r>
      <w:proofErr w:type="spellEnd"/>
      <w:r>
        <w:rPr>
          <w:rFonts w:ascii="TH SarabunPSK" w:hAnsi="TH SarabunPSK" w:cs="TH SarabunPSK" w:hint="cs"/>
          <w:sz w:val="28"/>
        </w:rPr>
        <w:t xml:space="preserve"> pellets in distilled </w:t>
      </w:r>
      <w:r>
        <w:rPr>
          <w:rFonts w:ascii="TH SarabunPSK" w:hAnsi="TH SarabunPSK" w:cs="TH SarabunPSK"/>
          <w:sz w:val="28"/>
        </w:rPr>
        <w:t>SBF</w:t>
      </w:r>
      <w:r>
        <w:rPr>
          <w:rFonts w:ascii="TH SarabunPSK" w:hAnsi="TH SarabunPSK" w:cs="TH SarabunPSK" w:hint="cs"/>
          <w:sz w:val="28"/>
        </w:rPr>
        <w:t xml:space="preserve"> over a 7-day period.</w:t>
      </w:r>
    </w:p>
    <w:p w14:paraId="701D1CC8" w14:textId="77777777" w:rsidR="00D669AE" w:rsidRDefault="00000000">
      <w:pPr>
        <w:spacing w:after="0"/>
        <w:ind w:firstLine="720"/>
        <w:jc w:val="both"/>
        <w:rPr>
          <w:rFonts w:ascii="TH SarabunPSK" w:hAnsi="TH SarabunPSK" w:cs="TH SarabunPSK"/>
          <w:sz w:val="28"/>
        </w:rPr>
      </w:pPr>
      <w:r>
        <w:rPr>
          <w:rFonts w:ascii="TH SarabunPSK" w:hAnsi="TH SarabunPSK" w:cs="TH SarabunPSK"/>
          <w:sz w:val="28"/>
        </w:rPr>
        <w:t>Mathematical fitting showed that the release behavior followed the Higuchi model (R² ≈ 1), indicating that gentamicin release was primarily controlled by diffusion through the porous hydroxyapatite matrix.</w:t>
      </w:r>
    </w:p>
    <w:p w14:paraId="701D1CC9" w14:textId="77777777" w:rsidR="00D669AE" w:rsidRDefault="00D669AE">
      <w:pPr>
        <w:spacing w:after="0" w:line="240" w:lineRule="auto"/>
        <w:jc w:val="thaiDistribute"/>
        <w:rPr>
          <w:rFonts w:ascii="TH SarabunPSK" w:hAnsi="TH SarabunPSK" w:cs="TH SarabunPSK"/>
          <w:b/>
          <w:bCs/>
          <w:sz w:val="28"/>
        </w:rPr>
      </w:pPr>
    </w:p>
    <w:p w14:paraId="701D1CCA" w14:textId="77777777" w:rsidR="00D669AE" w:rsidRDefault="00000000">
      <w:pPr>
        <w:spacing w:after="0" w:line="240" w:lineRule="auto"/>
        <w:jc w:val="thaiDistribute"/>
        <w:rPr>
          <w:rFonts w:ascii="TH SarabunPSK" w:hAnsi="TH SarabunPSK" w:cs="TH SarabunPSK"/>
          <w:b/>
          <w:bCs/>
          <w:sz w:val="28"/>
        </w:rPr>
      </w:pPr>
      <w:r>
        <w:rPr>
          <w:rFonts w:ascii="TH SarabunPSK" w:hAnsi="TH SarabunPSK" w:cs="TH SarabunPSK"/>
          <w:b/>
          <w:bCs/>
          <w:sz w:val="28"/>
        </w:rPr>
        <w:t>Conclusions</w:t>
      </w:r>
    </w:p>
    <w:p w14:paraId="701D1CCB"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Porous hydroxyapatite (</w:t>
      </w:r>
      <w:proofErr w:type="spellStart"/>
      <w:r>
        <w:rPr>
          <w:rFonts w:ascii="TH SarabunPSK" w:hAnsi="TH SarabunPSK" w:cs="TH SarabunPSK" w:hint="cs"/>
          <w:sz w:val="28"/>
        </w:rPr>
        <w:t>HAp</w:t>
      </w:r>
      <w:proofErr w:type="spellEnd"/>
      <w:r>
        <w:rPr>
          <w:rFonts w:ascii="TH SarabunPSK" w:hAnsi="TH SarabunPSK" w:cs="TH SarabunPSK" w:hint="cs"/>
          <w:sz w:val="28"/>
        </w:rPr>
        <w:t xml:space="preserve">) was successfully synthesized from tilapia scales and exhibited chemical and structural characteristics comparable to natural bone mineral. KOH activation significantly enhanced the porosity of </w:t>
      </w:r>
      <w:proofErr w:type="spellStart"/>
      <w:r>
        <w:rPr>
          <w:rFonts w:ascii="TH SarabunPSK" w:hAnsi="TH SarabunPSK" w:cs="TH SarabunPSK" w:hint="cs"/>
          <w:sz w:val="28"/>
        </w:rPr>
        <w:t>HAp</w:t>
      </w:r>
      <w:proofErr w:type="spellEnd"/>
      <w:r>
        <w:rPr>
          <w:rFonts w:ascii="TH SarabunPSK" w:hAnsi="TH SarabunPSK" w:cs="TH SarabunPSK" w:hint="cs"/>
          <w:sz w:val="28"/>
        </w:rPr>
        <w:t xml:space="preserve">, resulting in improved gentamicin loading capacity and controlled drug release behavior. Among all formulations, </w:t>
      </w:r>
      <w:proofErr w:type="spellStart"/>
      <w:r>
        <w:rPr>
          <w:rFonts w:ascii="TH SarabunPSK" w:hAnsi="TH SarabunPSK" w:cs="TH SarabunPSK" w:hint="cs"/>
          <w:sz w:val="28"/>
        </w:rPr>
        <w:t>HAp</w:t>
      </w:r>
      <w:proofErr w:type="spellEnd"/>
      <w:r>
        <w:rPr>
          <w:rFonts w:ascii="TH SarabunPSK" w:hAnsi="TH SarabunPSK" w:cs="TH SarabunPSK" w:hint="cs"/>
          <w:sz w:val="28"/>
        </w:rPr>
        <w:t xml:space="preserve"> activated with 1 mol/L KOH for 5 h</w:t>
      </w:r>
      <w:r>
        <w:rPr>
          <w:rFonts w:ascii="TH SarabunPSK" w:hAnsi="TH SarabunPSK" w:cs="TH SarabunPSK"/>
          <w:sz w:val="28"/>
        </w:rPr>
        <w:t>r.</w:t>
      </w:r>
      <w:r>
        <w:rPr>
          <w:rFonts w:ascii="TH SarabunPSK" w:hAnsi="TH SarabunPSK" w:cs="TH SarabunPSK" w:hint="cs"/>
          <w:sz w:val="28"/>
        </w:rPr>
        <w:t xml:space="preserve"> demonstrated the highest porosity, drug loading efficiency, and cumulative gentamicin release.</w:t>
      </w:r>
    </w:p>
    <w:p w14:paraId="701D1CCC"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In vitro release studies revealed an initial burst followed by sustained drug release, with release kinetics well described by the Higuchi model,</w:t>
      </w:r>
      <w:r>
        <w:rPr>
          <w:rFonts w:ascii="Times New Roman" w:hAnsi="Times New Roman" w:cs="Times New Roman"/>
          <w:szCs w:val="22"/>
        </w:rPr>
        <w:t xml:space="preserve"> </w:t>
      </w:r>
      <w:r>
        <w:rPr>
          <w:rFonts w:ascii="TH SarabunPSK" w:hAnsi="TH SarabunPSK" w:cs="TH SarabunPSK" w:hint="cs"/>
          <w:sz w:val="28"/>
        </w:rPr>
        <w:t xml:space="preserve">indicating a diffusion-controlled mechanism. Although the pellets partially </w:t>
      </w:r>
      <w:r>
        <w:rPr>
          <w:rFonts w:ascii="TH SarabunPSK" w:hAnsi="TH SarabunPSK" w:cs="TH SarabunPSK" w:hint="cs"/>
          <w:sz w:val="28"/>
        </w:rPr>
        <w:lastRenderedPageBreak/>
        <w:t>disintegrated after immersion, this property may promote biodegradation and eliminate the need for surgical removal after treatment.</w:t>
      </w:r>
    </w:p>
    <w:p w14:paraId="701D1CCD" w14:textId="77777777" w:rsidR="00D669AE" w:rsidRDefault="00000000">
      <w:pPr>
        <w:spacing w:after="0"/>
        <w:ind w:firstLine="720"/>
        <w:jc w:val="both"/>
        <w:rPr>
          <w:rFonts w:ascii="TH SarabunPSK" w:hAnsi="TH SarabunPSK" w:cs="TH SarabunPSK"/>
          <w:sz w:val="28"/>
        </w:rPr>
      </w:pPr>
      <w:r>
        <w:rPr>
          <w:rFonts w:ascii="TH SarabunPSK" w:hAnsi="TH SarabunPSK" w:cs="TH SarabunPSK" w:hint="cs"/>
          <w:sz w:val="28"/>
        </w:rPr>
        <w:t xml:space="preserve">Overall, hydroxyapatite derived from tilapia scales represents a low-cost, biodegradable, and effective carrier for localized antibiotic delivery and shows strong potential for application in the treatment of bone infections. Future studies should focus on improving mechanical strength and </w:t>
      </w:r>
      <w:proofErr w:type="gramStart"/>
      <w:r>
        <w:rPr>
          <w:rFonts w:ascii="TH SarabunPSK" w:hAnsi="TH SarabunPSK" w:cs="TH SarabunPSK" w:hint="cs"/>
          <w:sz w:val="28"/>
        </w:rPr>
        <w:t>evaluating in</w:t>
      </w:r>
      <w:proofErr w:type="gramEnd"/>
      <w:r>
        <w:rPr>
          <w:rFonts w:ascii="TH SarabunPSK" w:hAnsi="TH SarabunPSK" w:cs="TH SarabunPSK" w:hint="cs"/>
          <w:sz w:val="28"/>
        </w:rPr>
        <w:t xml:space="preserve"> vivo performance.</w:t>
      </w:r>
    </w:p>
    <w:p w14:paraId="701D1CCE" w14:textId="77777777" w:rsidR="00D669AE" w:rsidRDefault="00D669AE">
      <w:pPr>
        <w:spacing w:after="0"/>
        <w:ind w:firstLine="720"/>
        <w:jc w:val="both"/>
        <w:rPr>
          <w:rFonts w:ascii="TH SarabunPSK" w:hAnsi="TH SarabunPSK" w:cs="TH SarabunPSK"/>
          <w:szCs w:val="22"/>
        </w:rPr>
      </w:pPr>
    </w:p>
    <w:p w14:paraId="701D1CCF" w14:textId="77777777" w:rsidR="00D669AE" w:rsidRDefault="00000000">
      <w:pPr>
        <w:spacing w:after="0" w:line="240" w:lineRule="auto"/>
        <w:jc w:val="thaiDistribute"/>
        <w:rPr>
          <w:rFonts w:ascii="TH SarabunPSK" w:hAnsi="TH SarabunPSK" w:cs="TH SarabunPSK"/>
          <w:b/>
          <w:bCs/>
          <w:sz w:val="28"/>
          <w:cs/>
        </w:rPr>
      </w:pPr>
      <w:r>
        <w:rPr>
          <w:rFonts w:ascii="TH SarabunPSK" w:hAnsi="TH SarabunPSK" w:cs="TH SarabunPSK"/>
          <w:b/>
          <w:bCs/>
          <w:sz w:val="28"/>
        </w:rPr>
        <w:t>Acknowledgments</w:t>
      </w:r>
      <w:r>
        <w:rPr>
          <w:rFonts w:ascii="TH SarabunPSK" w:hAnsi="TH SarabunPSK" w:cs="TH SarabunPSK"/>
          <w:b/>
          <w:bCs/>
          <w:sz w:val="28"/>
          <w:szCs w:val="22"/>
        </w:rPr>
        <w:t xml:space="preserve"> </w:t>
      </w:r>
    </w:p>
    <w:p w14:paraId="701D1CD0" w14:textId="77777777" w:rsidR="00D669AE" w:rsidRDefault="00000000">
      <w:pPr>
        <w:spacing w:after="0" w:line="240" w:lineRule="auto"/>
        <w:jc w:val="thaiDistribute"/>
        <w:rPr>
          <w:rFonts w:ascii="TH SarabunPSK" w:hAnsi="TH SarabunPSK" w:cs="TH SarabunPSK"/>
          <w:sz w:val="28"/>
        </w:rPr>
      </w:pPr>
      <w:r>
        <w:rPr>
          <w:rFonts w:ascii="TH SarabunPSK" w:hAnsi="TH SarabunPSK" w:cs="TH SarabunPSK"/>
          <w:sz w:val="28"/>
        </w:rPr>
        <w:tab/>
        <w:t xml:space="preserve">The authors would like to express their sincere gratitude to Mr. </w:t>
      </w:r>
      <w:proofErr w:type="spellStart"/>
      <w:r>
        <w:rPr>
          <w:rFonts w:ascii="TH SarabunPSK" w:hAnsi="TH SarabunPSK" w:cs="TH SarabunPSK"/>
          <w:sz w:val="28"/>
        </w:rPr>
        <w:t>Thanaphat</w:t>
      </w:r>
      <w:proofErr w:type="spellEnd"/>
      <w:r>
        <w:rPr>
          <w:rFonts w:ascii="TH SarabunPSK" w:hAnsi="TH SarabunPSK" w:cs="TH SarabunPSK"/>
          <w:sz w:val="28"/>
        </w:rPr>
        <w:t xml:space="preserve"> </w:t>
      </w:r>
      <w:proofErr w:type="spellStart"/>
      <w:r>
        <w:rPr>
          <w:rFonts w:ascii="TH SarabunPSK" w:hAnsi="TH SarabunPSK" w:cs="TH SarabunPSK"/>
          <w:sz w:val="28"/>
        </w:rPr>
        <w:t>Tabthaisong</w:t>
      </w:r>
      <w:proofErr w:type="spellEnd"/>
      <w:r>
        <w:rPr>
          <w:rFonts w:ascii="TH SarabunPSK" w:hAnsi="TH SarabunPSK" w:cs="TH SarabunPSK"/>
          <w:sz w:val="28"/>
        </w:rPr>
        <w:t xml:space="preserve"> and Ms. </w:t>
      </w:r>
      <w:proofErr w:type="spellStart"/>
      <w:r>
        <w:rPr>
          <w:rFonts w:ascii="TH SarabunPSK" w:hAnsi="TH SarabunPSK" w:cs="TH SarabunPSK"/>
          <w:sz w:val="28"/>
        </w:rPr>
        <w:t>Wichuda</w:t>
      </w:r>
      <w:proofErr w:type="spellEnd"/>
      <w:r>
        <w:rPr>
          <w:rFonts w:ascii="TH SarabunPSK" w:hAnsi="TH SarabunPSK" w:cs="TH SarabunPSK"/>
          <w:sz w:val="28"/>
        </w:rPr>
        <w:t xml:space="preserve"> </w:t>
      </w:r>
      <w:proofErr w:type="spellStart"/>
      <w:r>
        <w:rPr>
          <w:rFonts w:ascii="TH SarabunPSK" w:hAnsi="TH SarabunPSK" w:cs="TH SarabunPSK"/>
          <w:sz w:val="28"/>
        </w:rPr>
        <w:t>Sanpakdee</w:t>
      </w:r>
      <w:proofErr w:type="spellEnd"/>
      <w:r>
        <w:rPr>
          <w:rFonts w:ascii="TH SarabunPSK" w:hAnsi="TH SarabunPSK" w:cs="TH SarabunPSK"/>
          <w:sz w:val="28"/>
        </w:rPr>
        <w:t xml:space="preserve"> for their invaluable guidance, encouragement, and continuous support throughout this research. The authors also gratefully acknowledge Princess Chulabhorn Science High School Mukdahan for providing laboratory facilities and research support, and the Scientific Instrument Center, Ubon Ratchathani University, for assistance with sample characterization and instrumental analysis. Their support and contributions were essential to the successful completion of this study.</w:t>
      </w:r>
    </w:p>
    <w:p w14:paraId="701D1CD1" w14:textId="77777777" w:rsidR="00D669AE" w:rsidRDefault="00D669AE">
      <w:pPr>
        <w:spacing w:after="0" w:line="240" w:lineRule="auto"/>
        <w:jc w:val="thaiDistribute"/>
        <w:rPr>
          <w:rFonts w:ascii="TH SarabunPSK" w:hAnsi="TH SarabunPSK" w:cs="TH SarabunPSK"/>
          <w:b/>
          <w:bCs/>
          <w:sz w:val="28"/>
        </w:rPr>
      </w:pPr>
    </w:p>
    <w:p w14:paraId="701D1CD2" w14:textId="77777777" w:rsidR="00D669AE" w:rsidRDefault="00000000">
      <w:pPr>
        <w:spacing w:after="0" w:line="240" w:lineRule="auto"/>
        <w:jc w:val="thaiDistribute"/>
        <w:rPr>
          <w:rFonts w:ascii="TH SarabunPSK" w:hAnsi="TH SarabunPSK" w:cs="TH SarabunPSK"/>
          <w:b/>
          <w:bCs/>
          <w:sz w:val="32"/>
          <w:szCs w:val="32"/>
          <w:cs/>
        </w:rPr>
      </w:pPr>
      <w:r>
        <w:rPr>
          <w:rFonts w:ascii="TH SarabunPSK" w:hAnsi="TH SarabunPSK" w:cs="TH SarabunPSK" w:hint="cs"/>
          <w:b/>
          <w:bCs/>
          <w:sz w:val="28"/>
        </w:rPr>
        <w:t>References</w:t>
      </w:r>
      <w:r>
        <w:rPr>
          <w:rFonts w:ascii="TH SarabunPSK" w:hAnsi="TH SarabunPSK" w:cs="TH SarabunPSK" w:hint="cs"/>
          <w:b/>
          <w:bCs/>
          <w:sz w:val="32"/>
          <w:szCs w:val="32"/>
        </w:rPr>
        <w:t xml:space="preserve"> </w:t>
      </w:r>
    </w:p>
    <w:p w14:paraId="701D1CD3" w14:textId="2BD8B416" w:rsidR="00D669AE" w:rsidRDefault="00000000" w:rsidP="00EA3FA2">
      <w:pPr>
        <w:spacing w:line="240" w:lineRule="auto"/>
        <w:jc w:val="both"/>
        <w:rPr>
          <w:rFonts w:ascii="TH SarabunPSK" w:hAnsi="TH SarabunPSK" w:cs="TH SarabunPSK"/>
          <w:sz w:val="28"/>
        </w:rPr>
      </w:pPr>
      <w:r>
        <w:rPr>
          <w:rFonts w:ascii="TH SarabunPSK" w:hAnsi="TH SarabunPSK" w:cs="TH SarabunPSK"/>
          <w:sz w:val="28"/>
        </w:rPr>
        <w:t>Ferreira, M.,</w:t>
      </w:r>
      <w:r>
        <w:rPr>
          <w:rFonts w:ascii="TH SarabunPSK" w:hAnsi="TH SarabunPSK" w:cs="TH SarabunPSK" w:hint="cs"/>
          <w:sz w:val="28"/>
          <w:cs/>
        </w:rPr>
        <w:t xml:space="preserve"> </w:t>
      </w:r>
      <w:r>
        <w:rPr>
          <w:rFonts w:ascii="TH SarabunPSK" w:hAnsi="TH SarabunPSK" w:cs="TH SarabunPSK"/>
          <w:sz w:val="28"/>
        </w:rPr>
        <w:t>et al. (2021</w:t>
      </w:r>
      <w:proofErr w:type="gramStart"/>
      <w:r>
        <w:rPr>
          <w:rFonts w:ascii="TH SarabunPSK" w:hAnsi="TH SarabunPSK" w:cs="TH SarabunPSK"/>
          <w:sz w:val="28"/>
        </w:rPr>
        <w:t>).Liposomes</w:t>
      </w:r>
      <w:proofErr w:type="gramEnd"/>
      <w:r>
        <w:rPr>
          <w:rFonts w:ascii="TH SarabunPSK" w:hAnsi="TH SarabunPSK" w:cs="TH SarabunPSK"/>
          <w:sz w:val="28"/>
        </w:rPr>
        <w:t xml:space="preserve"> </w:t>
      </w:r>
      <w:r w:rsidR="00EA3FA2">
        <w:rPr>
          <w:rFonts w:ascii="TH SarabunPSK" w:hAnsi="TH SarabunPSK" w:cs="TH SarabunPSK"/>
          <w:sz w:val="28"/>
        </w:rPr>
        <w:t xml:space="preserve">as </w:t>
      </w:r>
      <w:r w:rsidR="00EA3FA2">
        <w:rPr>
          <w:rFonts w:ascii="TH SarabunPSK" w:hAnsi="TH SarabunPSK" w:cs="TH SarabunPSK"/>
          <w:sz w:val="28"/>
          <w:cs/>
        </w:rPr>
        <w:tab/>
      </w:r>
      <w:r w:rsidR="00EA3FA2">
        <w:rPr>
          <w:rFonts w:ascii="TH SarabunPSK" w:hAnsi="TH SarabunPSK" w:cs="TH SarabunPSK" w:hint="cs"/>
          <w:sz w:val="28"/>
        </w:rPr>
        <w:t>Antibiotic</w:t>
      </w:r>
      <w:r>
        <w:rPr>
          <w:rFonts w:ascii="TH SarabunPSK" w:hAnsi="TH SarabunPSK" w:cs="TH SarabunPSK"/>
          <w:sz w:val="28"/>
        </w:rPr>
        <w:t xml:space="preserve"> Delivery Systems: A Promising Nanotechnological Strategy against Antimicrobial Resistance. </w:t>
      </w:r>
      <w:r w:rsidRPr="00EA3FA2">
        <w:rPr>
          <w:rFonts w:ascii="TH SarabunPSK" w:hAnsi="TH SarabunPSK" w:cs="TH SarabunPSK"/>
          <w:i/>
          <w:iCs/>
          <w:sz w:val="28"/>
        </w:rPr>
        <w:t>Molecules. 26</w:t>
      </w:r>
      <w:r>
        <w:rPr>
          <w:rFonts w:ascii="TH SarabunPSK" w:hAnsi="TH SarabunPSK" w:cs="TH SarabunPSK"/>
          <w:sz w:val="28"/>
        </w:rPr>
        <w:t xml:space="preserve">(7): 2047. </w:t>
      </w:r>
    </w:p>
    <w:p w14:paraId="701D1CD4" w14:textId="2E64DF56" w:rsidR="00D669AE" w:rsidRPr="00C67520" w:rsidRDefault="00000000">
      <w:pPr>
        <w:spacing w:line="240" w:lineRule="auto"/>
        <w:jc w:val="both"/>
        <w:rPr>
          <w:rFonts w:ascii="TH SarabunPSK" w:hAnsi="TH SarabunPSK" w:cs="TH SarabunPSK"/>
          <w:i/>
          <w:iCs/>
          <w:sz w:val="28"/>
        </w:rPr>
      </w:pPr>
      <w:proofErr w:type="spellStart"/>
      <w:r>
        <w:rPr>
          <w:rFonts w:ascii="TH SarabunPSK" w:hAnsi="TH SarabunPSK" w:cs="TH SarabunPSK"/>
          <w:sz w:val="28"/>
        </w:rPr>
        <w:t>Khantee</w:t>
      </w:r>
      <w:proofErr w:type="spellEnd"/>
      <w:r>
        <w:rPr>
          <w:rFonts w:ascii="TH SarabunPSK" w:hAnsi="TH SarabunPSK" w:cs="TH SarabunPSK"/>
          <w:sz w:val="28"/>
        </w:rPr>
        <w:t xml:space="preserve">, P., &amp; </w:t>
      </w:r>
      <w:proofErr w:type="spellStart"/>
      <w:r>
        <w:rPr>
          <w:rFonts w:ascii="TH SarabunPSK" w:hAnsi="TH SarabunPSK" w:cs="TH SarabunPSK"/>
          <w:sz w:val="28"/>
        </w:rPr>
        <w:t>Witthawatsamongkhon</w:t>
      </w:r>
      <w:proofErr w:type="spellEnd"/>
      <w:r>
        <w:rPr>
          <w:rFonts w:ascii="TH SarabunPSK" w:hAnsi="TH SarabunPSK" w:cs="TH SarabunPSK"/>
          <w:sz w:val="28"/>
        </w:rPr>
        <w:t xml:space="preserve">, O. (2016, </w:t>
      </w:r>
      <w:r w:rsidR="00C67520">
        <w:rPr>
          <w:rFonts w:ascii="TH SarabunPSK" w:hAnsi="TH SarabunPSK" w:cs="TH SarabunPSK"/>
          <w:sz w:val="28"/>
          <w:cs/>
        </w:rPr>
        <w:tab/>
      </w:r>
      <w:r>
        <w:rPr>
          <w:rFonts w:ascii="TH SarabunPSK" w:hAnsi="TH SarabunPSK" w:cs="TH SarabunPSK"/>
          <w:sz w:val="28"/>
        </w:rPr>
        <w:t xml:space="preserve">November–December). Pediatric Acute Osteomyelitis. </w:t>
      </w:r>
      <w:r w:rsidRPr="00C67520">
        <w:rPr>
          <w:rFonts w:ascii="TH SarabunPSK" w:hAnsi="TH SarabunPSK" w:cs="TH SarabunPSK"/>
          <w:i/>
          <w:iCs/>
          <w:sz w:val="28"/>
        </w:rPr>
        <w:t>Focus Journal.</w:t>
      </w:r>
    </w:p>
    <w:p w14:paraId="701D1CD5" w14:textId="32307C58" w:rsidR="00D669AE" w:rsidRDefault="00000000">
      <w:pPr>
        <w:spacing w:line="240" w:lineRule="auto"/>
        <w:jc w:val="both"/>
        <w:rPr>
          <w:rFonts w:ascii="TH SarabunPSK" w:hAnsi="TH SarabunPSK" w:cs="TH SarabunPSK"/>
          <w:sz w:val="28"/>
        </w:rPr>
      </w:pPr>
      <w:proofErr w:type="gramStart"/>
      <w:r>
        <w:rPr>
          <w:rFonts w:ascii="TH SarabunPSK" w:hAnsi="TH SarabunPSK" w:cs="TH SarabunPSK"/>
          <w:sz w:val="28"/>
        </w:rPr>
        <w:t>Kritsanamara,N.</w:t>
      </w:r>
      <w:proofErr w:type="gramEnd"/>
      <w:r>
        <w:rPr>
          <w:rFonts w:ascii="TH SarabunPSK" w:hAnsi="TH SarabunPSK" w:cs="TH SarabunPSK"/>
          <w:sz w:val="28"/>
        </w:rPr>
        <w:t>,</w:t>
      </w:r>
      <w:proofErr w:type="spellStart"/>
      <w:r>
        <w:rPr>
          <w:rFonts w:ascii="TH SarabunPSK" w:hAnsi="TH SarabunPSK" w:cs="TH SarabunPSK"/>
          <w:sz w:val="28"/>
        </w:rPr>
        <w:t>Charoenphandhu</w:t>
      </w:r>
      <w:proofErr w:type="spellEnd"/>
      <w:r>
        <w:rPr>
          <w:rFonts w:ascii="TH SarabunPSK" w:hAnsi="TH SarabunPSK" w:cs="TH SarabunPSK"/>
          <w:sz w:val="28"/>
        </w:rPr>
        <w:t xml:space="preserve">, N., </w:t>
      </w:r>
      <w:proofErr w:type="gramStart"/>
      <w:r>
        <w:rPr>
          <w:rFonts w:ascii="TH SarabunPSK" w:hAnsi="TH SarabunPSK" w:cs="TH SarabunPSK"/>
          <w:sz w:val="28"/>
        </w:rPr>
        <w:t xml:space="preserve">&amp; </w:t>
      </w:r>
      <w:r w:rsidR="009149FA">
        <w:rPr>
          <w:rFonts w:ascii="TH SarabunPSK" w:hAnsi="TH SarabunPSK" w:cs="TH SarabunPSK"/>
          <w:sz w:val="28"/>
          <w:cs/>
        </w:rPr>
        <w:tab/>
      </w:r>
      <w:proofErr w:type="spellStart"/>
      <w:r>
        <w:rPr>
          <w:rFonts w:ascii="TH SarabunPSK" w:hAnsi="TH SarabunPSK" w:cs="TH SarabunPSK"/>
          <w:sz w:val="28"/>
        </w:rPr>
        <w:t>Panupinthu</w:t>
      </w:r>
      <w:proofErr w:type="spellEnd"/>
      <w:proofErr w:type="gramEnd"/>
      <w:r>
        <w:rPr>
          <w:rFonts w:ascii="TH SarabunPSK" w:hAnsi="TH SarabunPSK" w:cs="TH SarabunPSK"/>
          <w:sz w:val="28"/>
        </w:rPr>
        <w:t xml:space="preserve">, N. (2017). </w:t>
      </w:r>
      <w:r w:rsidRPr="009149FA">
        <w:rPr>
          <w:rFonts w:ascii="TH SarabunPSK" w:hAnsi="TH SarabunPSK" w:cs="TH SarabunPSK"/>
          <w:i/>
          <w:iCs/>
          <w:sz w:val="28"/>
        </w:rPr>
        <w:t>Research Project for the Development of Calcium and Collagen Supplement Products from Fish Scale Nanocomposites.</w:t>
      </w:r>
      <w:r>
        <w:rPr>
          <w:rFonts w:ascii="TH SarabunPSK" w:hAnsi="TH SarabunPSK" w:cs="TH SarabunPSK"/>
          <w:sz w:val="28"/>
        </w:rPr>
        <w:t xml:space="preserve"> Bangkok: Mahidol University.</w:t>
      </w:r>
    </w:p>
    <w:p w14:paraId="701D1CD6" w14:textId="4CC3FC65" w:rsidR="00D669AE" w:rsidRDefault="00000000">
      <w:pPr>
        <w:spacing w:line="240" w:lineRule="auto"/>
        <w:jc w:val="both"/>
        <w:rPr>
          <w:rFonts w:ascii="TH SarabunPSK" w:hAnsi="TH SarabunPSK" w:cs="TH SarabunPSK"/>
          <w:sz w:val="28"/>
        </w:rPr>
      </w:pPr>
      <w:proofErr w:type="gramStart"/>
      <w:r>
        <w:rPr>
          <w:rFonts w:ascii="TH SarabunPSK" w:hAnsi="TH SarabunPSK" w:cs="TH SarabunPSK"/>
          <w:sz w:val="28"/>
        </w:rPr>
        <w:t>Litsanan,S.</w:t>
      </w:r>
      <w:proofErr w:type="gramEnd"/>
      <w:r>
        <w:rPr>
          <w:rFonts w:ascii="TH SarabunPSK" w:hAnsi="TH SarabunPSK" w:cs="TH SarabunPSK"/>
          <w:sz w:val="28"/>
        </w:rPr>
        <w:t>,</w:t>
      </w:r>
      <w:proofErr w:type="spellStart"/>
      <w:proofErr w:type="gramStart"/>
      <w:r>
        <w:rPr>
          <w:rFonts w:ascii="TH SarabunPSK" w:hAnsi="TH SarabunPSK" w:cs="TH SarabunPSK"/>
          <w:sz w:val="28"/>
        </w:rPr>
        <w:t>etal</w:t>
      </w:r>
      <w:proofErr w:type="spellEnd"/>
      <w:r>
        <w:rPr>
          <w:rFonts w:ascii="TH SarabunPSK" w:hAnsi="TH SarabunPSK" w:cs="TH SarabunPSK"/>
          <w:sz w:val="28"/>
        </w:rPr>
        <w:t>.(</w:t>
      </w:r>
      <w:proofErr w:type="gramEnd"/>
      <w:r>
        <w:rPr>
          <w:rFonts w:ascii="TH SarabunPSK" w:hAnsi="TH SarabunPSK" w:cs="TH SarabunPSK"/>
          <w:sz w:val="28"/>
        </w:rPr>
        <w:t>2017). Preparation</w:t>
      </w:r>
      <w:proofErr w:type="gramStart"/>
      <w:r>
        <w:rPr>
          <w:rFonts w:ascii="TH SarabunPSK" w:hAnsi="TH SarabunPSK" w:cs="TH SarabunPSK"/>
          <w:sz w:val="28"/>
        </w:rPr>
        <w:t xml:space="preserve">, </w:t>
      </w:r>
      <w:r w:rsidR="00B23F0A">
        <w:rPr>
          <w:rFonts w:ascii="TH SarabunPSK" w:hAnsi="TH SarabunPSK" w:cs="TH SarabunPSK"/>
          <w:sz w:val="28"/>
          <w:cs/>
        </w:rPr>
        <w:tab/>
      </w:r>
      <w:r>
        <w:rPr>
          <w:rFonts w:ascii="TH SarabunPSK" w:hAnsi="TH SarabunPSK" w:cs="TH SarabunPSK"/>
          <w:sz w:val="28"/>
        </w:rPr>
        <w:t>Characterization</w:t>
      </w:r>
      <w:proofErr w:type="gramEnd"/>
      <w:r>
        <w:rPr>
          <w:rFonts w:ascii="TH SarabunPSK" w:hAnsi="TH SarabunPSK" w:cs="TH SarabunPSK"/>
          <w:sz w:val="28"/>
        </w:rPr>
        <w:t xml:space="preserve">, and Study of Antibiotic Release via Geopolymers. </w:t>
      </w:r>
      <w:r w:rsidRPr="00B23F0A">
        <w:rPr>
          <w:rFonts w:ascii="TH SarabunPSK" w:hAnsi="TH SarabunPSK" w:cs="TH SarabunPSK"/>
          <w:i/>
          <w:iCs/>
          <w:sz w:val="28"/>
        </w:rPr>
        <w:t>RMUTP Research Journal. 11</w:t>
      </w:r>
      <w:r>
        <w:rPr>
          <w:rFonts w:ascii="TH SarabunPSK" w:hAnsi="TH SarabunPSK" w:cs="TH SarabunPSK"/>
          <w:sz w:val="28"/>
        </w:rPr>
        <w:t>(2): 80–91.</w:t>
      </w:r>
    </w:p>
    <w:p w14:paraId="701D1CD7" w14:textId="54EB1808" w:rsidR="00D669AE" w:rsidRDefault="00000000">
      <w:pPr>
        <w:spacing w:line="240" w:lineRule="auto"/>
        <w:jc w:val="both"/>
        <w:rPr>
          <w:rFonts w:ascii="TH SarabunPSK" w:hAnsi="TH SarabunPSK" w:cs="TH SarabunPSK"/>
          <w:sz w:val="28"/>
        </w:rPr>
      </w:pPr>
      <w:proofErr w:type="spellStart"/>
      <w:r>
        <w:rPr>
          <w:rFonts w:ascii="TH SarabunPSK" w:hAnsi="TH SarabunPSK" w:cs="TH SarabunPSK" w:hint="cs"/>
          <w:sz w:val="28"/>
        </w:rPr>
        <w:t>Piukaew</w:t>
      </w:r>
      <w:proofErr w:type="spellEnd"/>
      <w:r>
        <w:rPr>
          <w:rFonts w:ascii="TH SarabunPSK" w:hAnsi="TH SarabunPSK" w:cs="TH SarabunPSK" w:hint="cs"/>
          <w:sz w:val="28"/>
        </w:rPr>
        <w:t xml:space="preserve">, N. (2018). </w:t>
      </w:r>
      <w:r w:rsidRPr="00CA77E2">
        <w:rPr>
          <w:rFonts w:ascii="TH SarabunPSK" w:hAnsi="TH SarabunPSK" w:cs="TH SarabunPSK" w:hint="cs"/>
          <w:i/>
          <w:iCs/>
          <w:sz w:val="28"/>
        </w:rPr>
        <w:t>Preparation</w:t>
      </w:r>
      <w:r w:rsidRPr="00CA77E2">
        <w:rPr>
          <w:rFonts w:ascii="TH SarabunPSK" w:hAnsi="TH SarabunPSK" w:cs="TH SarabunPSK"/>
          <w:i/>
          <w:iCs/>
          <w:sz w:val="28"/>
        </w:rPr>
        <w:t xml:space="preserve"> </w:t>
      </w:r>
      <w:r w:rsidRPr="00CA77E2">
        <w:rPr>
          <w:rFonts w:ascii="TH SarabunPSK" w:hAnsi="TH SarabunPSK" w:cs="TH SarabunPSK" w:hint="cs"/>
          <w:i/>
          <w:iCs/>
          <w:sz w:val="28"/>
        </w:rPr>
        <w:t xml:space="preserve">of </w:t>
      </w:r>
      <w:r w:rsidR="00B23F0A" w:rsidRPr="00CA77E2">
        <w:rPr>
          <w:rFonts w:ascii="TH SarabunPSK" w:hAnsi="TH SarabunPSK" w:cs="TH SarabunPSK"/>
          <w:i/>
          <w:iCs/>
          <w:sz w:val="28"/>
          <w:cs/>
        </w:rPr>
        <w:tab/>
      </w:r>
      <w:r w:rsidRPr="00CA77E2">
        <w:rPr>
          <w:rFonts w:ascii="TH SarabunPSK" w:hAnsi="TH SarabunPSK" w:cs="TH SarabunPSK" w:hint="cs"/>
          <w:i/>
          <w:iCs/>
          <w:sz w:val="28"/>
        </w:rPr>
        <w:t>Hydroxyapatite-Based Antibiotic Delivery Pellets for Localized Bone Infection Treatment via Hydrothermal Process.</w:t>
      </w:r>
      <w:r>
        <w:rPr>
          <w:rFonts w:ascii="TH SarabunPSK" w:hAnsi="TH SarabunPSK" w:cs="TH SarabunPSK" w:hint="cs"/>
          <w:sz w:val="28"/>
        </w:rPr>
        <w:t xml:space="preserve"> </w:t>
      </w:r>
      <w:r w:rsidR="00F107F9" w:rsidRPr="00F107F9">
        <w:rPr>
          <w:rFonts w:ascii="TH SarabunPSK" w:hAnsi="TH SarabunPSK" w:cs="TH SarabunPSK"/>
          <w:sz w:val="28"/>
        </w:rPr>
        <w:t>(</w:t>
      </w:r>
      <w:r>
        <w:rPr>
          <w:rFonts w:ascii="TH SarabunPSK" w:hAnsi="TH SarabunPSK" w:cs="TH SarabunPSK" w:hint="cs"/>
          <w:sz w:val="28"/>
        </w:rPr>
        <w:t>Master's Thesis</w:t>
      </w:r>
      <w:r w:rsidR="00F107F9">
        <w:rPr>
          <w:rFonts w:ascii="TH SarabunPSK" w:hAnsi="TH SarabunPSK" w:cs="TH SarabunPSK"/>
          <w:sz w:val="28"/>
        </w:rPr>
        <w:t>)</w:t>
      </w:r>
      <w:r>
        <w:rPr>
          <w:rFonts w:ascii="TH SarabunPSK" w:hAnsi="TH SarabunPSK" w:cs="TH SarabunPSK" w:hint="cs"/>
          <w:sz w:val="28"/>
        </w:rPr>
        <w:t xml:space="preserve">. </w:t>
      </w:r>
      <w:proofErr w:type="spellStart"/>
      <w:proofErr w:type="gramStart"/>
      <w:r>
        <w:rPr>
          <w:rFonts w:ascii="TH SarabunPSK" w:hAnsi="TH SarabunPSK" w:cs="TH SarabunPSK" w:hint="cs"/>
          <w:sz w:val="28"/>
        </w:rPr>
        <w:t>Bangkok:Chulalongkorn</w:t>
      </w:r>
      <w:proofErr w:type="spellEnd"/>
      <w:proofErr w:type="gramEnd"/>
      <w:r>
        <w:rPr>
          <w:rFonts w:ascii="TH SarabunPSK" w:hAnsi="TH SarabunPSK" w:cs="TH SarabunPSK"/>
          <w:sz w:val="28"/>
        </w:rPr>
        <w:t xml:space="preserve"> </w:t>
      </w:r>
      <w:r>
        <w:rPr>
          <w:rFonts w:ascii="TH SarabunPSK" w:hAnsi="TH SarabunPSK" w:cs="TH SarabunPSK" w:hint="cs"/>
          <w:sz w:val="28"/>
        </w:rPr>
        <w:t xml:space="preserve">University. </w:t>
      </w:r>
    </w:p>
    <w:p w14:paraId="701D1CD8" w14:textId="77777777" w:rsidR="00D669AE" w:rsidRDefault="00000000">
      <w:pPr>
        <w:spacing w:line="240" w:lineRule="auto"/>
        <w:jc w:val="both"/>
        <w:rPr>
          <w:rFonts w:ascii="TH SarabunPSK" w:hAnsi="TH SarabunPSK" w:cs="TH SarabunPSK"/>
          <w:sz w:val="28"/>
        </w:rPr>
      </w:pPr>
      <w:r>
        <w:rPr>
          <w:rFonts w:ascii="TH SarabunPSK" w:hAnsi="TH SarabunPSK" w:cs="TH SarabunPSK"/>
          <w:sz w:val="28"/>
        </w:rPr>
        <w:t xml:space="preserve">Somjit, S., &amp; </w:t>
      </w:r>
      <w:proofErr w:type="spellStart"/>
      <w:r>
        <w:rPr>
          <w:rFonts w:ascii="TH SarabunPSK" w:hAnsi="TH SarabunPSK" w:cs="TH SarabunPSK"/>
          <w:sz w:val="28"/>
        </w:rPr>
        <w:t>Chompoosor</w:t>
      </w:r>
      <w:proofErr w:type="spellEnd"/>
      <w:r>
        <w:rPr>
          <w:rFonts w:ascii="TH SarabunPSK" w:hAnsi="TH SarabunPSK" w:cs="TH SarabunPSK"/>
          <w:sz w:val="28"/>
        </w:rPr>
        <w:t>, A. (2017).</w:t>
      </w:r>
      <w:r>
        <w:rPr>
          <w:rFonts w:ascii="TH SarabunPSK" w:hAnsi="TH SarabunPSK" w:cs="TH SarabunPSK"/>
          <w:sz w:val="28"/>
        </w:rPr>
        <w:tab/>
      </w:r>
      <w:r>
        <w:rPr>
          <w:rFonts w:ascii="TH SarabunPSK" w:hAnsi="TH SarabunPSK" w:cs="TH SarabunPSK"/>
          <w:sz w:val="28"/>
        </w:rPr>
        <w:tab/>
        <w:t xml:space="preserve"> Drug Release Kinetics from</w:t>
      </w:r>
      <w:r>
        <w:rPr>
          <w:rFonts w:ascii="TH SarabunPSK" w:hAnsi="TH SarabunPSK" w:cs="TH SarabunPSK"/>
          <w:i/>
          <w:iCs/>
          <w:sz w:val="28"/>
        </w:rPr>
        <w:t xml:space="preserve"> </w:t>
      </w:r>
      <w:r>
        <w:rPr>
          <w:rFonts w:ascii="TH SarabunPSK" w:hAnsi="TH SarabunPSK" w:cs="TH SarabunPSK"/>
          <w:sz w:val="28"/>
        </w:rPr>
        <w:t xml:space="preserve">Polydiacetylene </w:t>
      </w:r>
      <w:proofErr w:type="spellStart"/>
      <w:r>
        <w:rPr>
          <w:rFonts w:ascii="TH SarabunPSK" w:hAnsi="TH SarabunPSK" w:cs="TH SarabunPSK"/>
          <w:sz w:val="28"/>
        </w:rPr>
        <w:t>Nanocapsules</w:t>
      </w:r>
      <w:proofErr w:type="spellEnd"/>
      <w:r>
        <w:rPr>
          <w:rFonts w:ascii="TH SarabunPSK" w:hAnsi="TH SarabunPSK" w:cs="TH SarabunPSK"/>
          <w:sz w:val="28"/>
        </w:rPr>
        <w:t xml:space="preserve"> Coated with Gold Nanoparticles. In </w:t>
      </w:r>
      <w:r w:rsidRPr="00042FBD">
        <w:rPr>
          <w:rFonts w:ascii="TH SarabunPSK" w:hAnsi="TH SarabunPSK" w:cs="TH SarabunPSK"/>
          <w:i/>
          <w:iCs/>
          <w:sz w:val="28"/>
        </w:rPr>
        <w:t>Proceedings of the National and International Graduate Research Conference.</w:t>
      </w:r>
      <w:r>
        <w:rPr>
          <w:rFonts w:ascii="TH SarabunPSK" w:hAnsi="TH SarabunPSK" w:cs="TH SarabunPSK"/>
          <w:sz w:val="28"/>
        </w:rPr>
        <w:t xml:space="preserve"> pp. 345–351. Khon Kaen: Khon Kaen University.</w:t>
      </w:r>
    </w:p>
    <w:p w14:paraId="701D1CD9" w14:textId="5ED6C5A0" w:rsidR="00D669AE" w:rsidRDefault="00000000">
      <w:pPr>
        <w:spacing w:line="240" w:lineRule="auto"/>
        <w:jc w:val="both"/>
        <w:rPr>
          <w:rFonts w:ascii="TH SarabunPSK" w:hAnsi="TH SarabunPSK" w:cs="TH SarabunPSK"/>
          <w:sz w:val="28"/>
          <w:lang w:val="en-AU"/>
        </w:rPr>
      </w:pPr>
      <w:proofErr w:type="spellStart"/>
      <w:r>
        <w:rPr>
          <w:rFonts w:ascii="TH SarabunPSK" w:hAnsi="TH SarabunPSK" w:cs="TH SarabunPSK" w:hint="cs"/>
          <w:sz w:val="28"/>
        </w:rPr>
        <w:t>Trakulwannachai</w:t>
      </w:r>
      <w:proofErr w:type="spellEnd"/>
      <w:r>
        <w:rPr>
          <w:rFonts w:ascii="TH SarabunPSK" w:hAnsi="TH SarabunPSK" w:cs="TH SarabunPSK" w:hint="cs"/>
          <w:sz w:val="28"/>
        </w:rPr>
        <w:t xml:space="preserve">, W. (2018). Development of </w:t>
      </w:r>
      <w:r w:rsidR="007A4E72">
        <w:rPr>
          <w:rFonts w:ascii="TH SarabunPSK" w:hAnsi="TH SarabunPSK" w:cs="TH SarabunPSK"/>
          <w:sz w:val="28"/>
        </w:rPr>
        <w:tab/>
      </w:r>
      <w:r w:rsidRPr="00DA3364">
        <w:rPr>
          <w:rFonts w:ascii="TH SarabunPSK" w:hAnsi="TH SarabunPSK" w:cs="TH SarabunPSK" w:hint="cs"/>
          <w:i/>
          <w:iCs/>
          <w:sz w:val="28"/>
        </w:rPr>
        <w:t>Hydroxyapatite</w:t>
      </w:r>
      <w:r w:rsidRPr="00DA3364">
        <w:rPr>
          <w:rFonts w:ascii="TH SarabunPSK" w:hAnsi="TH SarabunPSK" w:cs="TH SarabunPSK"/>
          <w:i/>
          <w:iCs/>
          <w:sz w:val="28"/>
        </w:rPr>
        <w:t xml:space="preserve"> </w:t>
      </w:r>
      <w:r w:rsidRPr="00DA3364">
        <w:rPr>
          <w:rFonts w:ascii="TH SarabunPSK" w:hAnsi="TH SarabunPSK" w:cs="TH SarabunPSK" w:hint="cs"/>
          <w:i/>
          <w:iCs/>
          <w:sz w:val="28"/>
        </w:rPr>
        <w:t>Composites Prepared from Eggshells and Their Applications in Medical Technology</w:t>
      </w:r>
      <w:r w:rsidR="00DA3364" w:rsidRPr="0043616C">
        <w:rPr>
          <w:rFonts w:ascii="TH SarabunPSK" w:hAnsi="TH SarabunPSK" w:cs="TH SarabunPSK" w:hint="cs"/>
          <w:i/>
          <w:iCs/>
          <w:sz w:val="28"/>
        </w:rPr>
        <w:t>.</w:t>
      </w:r>
      <w:r w:rsidR="00DA3364" w:rsidRPr="00DA3364">
        <w:rPr>
          <w:rFonts w:ascii="TH SarabunPSK" w:hAnsi="TH SarabunPSK" w:cs="TH SarabunPSK"/>
          <w:sz w:val="28"/>
        </w:rPr>
        <w:t xml:space="preserve"> </w:t>
      </w:r>
      <w:r w:rsidR="00DA3364" w:rsidRPr="00DA3364">
        <w:rPr>
          <w:rFonts w:ascii="TH SarabunPSK" w:hAnsi="TH SarabunPSK" w:cs="TH SarabunPSK"/>
          <w:sz w:val="28"/>
        </w:rPr>
        <w:t>(Master's thesis).</w:t>
      </w:r>
      <w:r w:rsidR="00DA3364">
        <w:rPr>
          <w:rFonts w:ascii="TH SarabunPSK" w:hAnsi="TH SarabunPSK" w:cs="TH SarabunPSK"/>
          <w:sz w:val="28"/>
        </w:rPr>
        <w:t xml:space="preserve"> </w:t>
      </w:r>
      <w:proofErr w:type="gramStart"/>
      <w:r>
        <w:rPr>
          <w:rFonts w:ascii="TH SarabunPSK" w:hAnsi="TH SarabunPSK" w:cs="TH SarabunPSK" w:hint="cs"/>
          <w:sz w:val="28"/>
        </w:rPr>
        <w:t>Bangkok</w:t>
      </w:r>
      <w:proofErr w:type="gramEnd"/>
      <w:r>
        <w:rPr>
          <w:rFonts w:ascii="TH SarabunPSK" w:hAnsi="TH SarabunPSK" w:cs="TH SarabunPSK" w:hint="cs"/>
          <w:sz w:val="28"/>
        </w:rPr>
        <w:t>: Thammasat University.</w:t>
      </w:r>
    </w:p>
    <w:sectPr w:rsidR="00D669AE">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52E82" w14:textId="77777777" w:rsidR="003E101B" w:rsidRDefault="003E101B">
      <w:pPr>
        <w:spacing w:line="240" w:lineRule="auto"/>
      </w:pPr>
      <w:r>
        <w:separator/>
      </w:r>
    </w:p>
  </w:endnote>
  <w:endnote w:type="continuationSeparator" w:id="0">
    <w:p w14:paraId="7FF42A17" w14:textId="77777777" w:rsidR="003E101B" w:rsidRDefault="003E1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altName w:val="Leelawadee UI"/>
    <w:panose1 w:val="020B0500040200020003"/>
    <w:charset w:val="00"/>
    <w:family w:val="swiss"/>
    <w:pitch w:val="variable"/>
    <w:sig w:usb0="A100006F" w:usb1="5000205A" w:usb2="00000000" w:usb3="00000000" w:csb0="00010183" w:csb1="00000000"/>
  </w:font>
  <w:font w:name="Sarabun">
    <w:altName w:val="Calibri"/>
    <w:charset w:val="DE"/>
    <w:family w:val="auto"/>
    <w:pitch w:val="default"/>
    <w:sig w:usb0="00000000" w:usb1="00000000"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766959912"/>
    </w:sdtPr>
    <w:sdtContent>
      <w:p w14:paraId="701D1CEB" w14:textId="77777777" w:rsidR="00D669AE" w:rsidRDefault="00000000">
        <w:pPr>
          <w:pStyle w:val="a3"/>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sdtContent>
  </w:sdt>
  <w:p w14:paraId="701D1CEC" w14:textId="77777777" w:rsidR="00D669AE" w:rsidRDefault="00D669A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Fonts w:ascii="TH SarabunPSK" w:hAnsi="TH SarabunPSK" w:cs="TH SarabunPSK" w:hint="cs"/>
        <w:sz w:val="28"/>
      </w:rPr>
      <w:id w:val="-724063355"/>
    </w:sdtPr>
    <w:sdtContent>
      <w:p w14:paraId="701D1CED" w14:textId="77777777" w:rsidR="00D669AE" w:rsidRDefault="00000000">
        <w:pPr>
          <w:pStyle w:val="a3"/>
          <w:framePr w:wrap="auto" w:vAnchor="text" w:hAnchor="margin" w:xAlign="center" w:y="1"/>
          <w:rPr>
            <w:rStyle w:val="a9"/>
            <w:rFonts w:ascii="TH SarabunPSK" w:hAnsi="TH SarabunPSK" w:cs="TH SarabunPSK"/>
            <w:sz w:val="28"/>
          </w:rPr>
        </w:pPr>
        <w:r>
          <w:rPr>
            <w:rStyle w:val="a9"/>
            <w:rFonts w:ascii="TH SarabunPSK" w:hAnsi="TH SarabunPSK" w:cs="TH SarabunPSK" w:hint="cs"/>
            <w:sz w:val="28"/>
          </w:rPr>
          <w:fldChar w:fldCharType="begin"/>
        </w:r>
        <w:r>
          <w:rPr>
            <w:rStyle w:val="a9"/>
            <w:rFonts w:ascii="TH SarabunPSK" w:hAnsi="TH SarabunPSK" w:cs="TH SarabunPSK" w:hint="cs"/>
            <w:sz w:val="28"/>
          </w:rPr>
          <w:instrText xml:space="preserve"> PAGE </w:instrText>
        </w:r>
        <w:r>
          <w:rPr>
            <w:rStyle w:val="a9"/>
            <w:rFonts w:ascii="TH SarabunPSK" w:hAnsi="TH SarabunPSK" w:cs="TH SarabunPSK" w:hint="cs"/>
            <w:sz w:val="28"/>
          </w:rPr>
          <w:fldChar w:fldCharType="separate"/>
        </w:r>
        <w:r>
          <w:rPr>
            <w:rStyle w:val="a9"/>
            <w:rFonts w:ascii="TH SarabunPSK" w:hAnsi="TH SarabunPSK" w:cs="TH SarabunPSK" w:hint="cs"/>
            <w:sz w:val="28"/>
          </w:rPr>
          <w:t>1</w:t>
        </w:r>
        <w:r>
          <w:rPr>
            <w:rStyle w:val="a9"/>
            <w:rFonts w:ascii="TH SarabunPSK" w:hAnsi="TH SarabunPSK" w:cs="TH SarabunPSK" w:hint="cs"/>
            <w:sz w:val="28"/>
          </w:rPr>
          <w:fldChar w:fldCharType="end"/>
        </w:r>
      </w:p>
    </w:sdtContent>
  </w:sdt>
  <w:p w14:paraId="701D1CEE" w14:textId="77777777" w:rsidR="00D669AE" w:rsidRDefault="00000000">
    <w:pPr>
      <w:pStyle w:val="a3"/>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0288" behindDoc="0" locked="0" layoutInCell="1" allowOverlap="1" wp14:anchorId="701D1CF1" wp14:editId="701D1CF2">
          <wp:simplePos x="0" y="0"/>
          <wp:positionH relativeFrom="page">
            <wp:align>left</wp:align>
          </wp:positionH>
          <wp:positionV relativeFrom="paragraph">
            <wp:posOffset>15240</wp:posOffset>
          </wp:positionV>
          <wp:extent cx="7834630" cy="668655"/>
          <wp:effectExtent l="0" t="0" r="0" b="0"/>
          <wp:wrapNone/>
          <wp:docPr id="150134123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41239" name="รูปภาพ 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34343" cy="66874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78F4" w14:textId="77777777" w:rsidR="003E101B" w:rsidRDefault="003E101B">
      <w:pPr>
        <w:spacing w:after="0"/>
      </w:pPr>
      <w:r>
        <w:separator/>
      </w:r>
    </w:p>
  </w:footnote>
  <w:footnote w:type="continuationSeparator" w:id="0">
    <w:p w14:paraId="2FFB8421" w14:textId="77777777" w:rsidR="003E101B" w:rsidRDefault="003E10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1CEA" w14:textId="77777777" w:rsidR="00D669AE" w:rsidRDefault="00000000">
    <w:pPr>
      <w:pStyle w:val="a5"/>
    </w:pPr>
    <w:r>
      <w:rPr>
        <w:noProof/>
      </w:rPr>
      <w:drawing>
        <wp:anchor distT="0" distB="0" distL="114300" distR="114300" simplePos="0" relativeHeight="251659264" behindDoc="1" locked="0" layoutInCell="1" allowOverlap="1" wp14:anchorId="701D1CEF" wp14:editId="701D1CF0">
          <wp:simplePos x="0" y="0"/>
          <wp:positionH relativeFrom="page">
            <wp:align>left</wp:align>
          </wp:positionH>
          <wp:positionV relativeFrom="paragraph">
            <wp:posOffset>-457200</wp:posOffset>
          </wp:positionV>
          <wp:extent cx="7560310" cy="1299845"/>
          <wp:effectExtent l="0" t="0" r="3175" b="0"/>
          <wp:wrapNone/>
          <wp:docPr id="208599567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95673" name="รูปภาพ 47"/>
                  <pic:cNvPicPr>
                    <a:picLocks noChangeAspect="1" noChangeArrowheads="1"/>
                  </pic:cNvPicPr>
                </pic:nvPicPr>
                <pic:blipFill>
                  <a:blip r:embed="rId1">
                    <a:extLst>
                      <a:ext uri="{28A0092B-C50C-407E-A947-70E740481C1C}">
                        <a14:useLocalDpi xmlns:a14="http://schemas.microsoft.com/office/drawing/2010/main" val="0"/>
                      </a:ext>
                    </a:extLst>
                  </a:blip>
                  <a:srcRect b="87836"/>
                  <a:stretch>
                    <a:fillRect/>
                  </a:stretch>
                </pic:blipFill>
                <pic:spPr>
                  <a:xfrm>
                    <a:off x="0" y="0"/>
                    <a:ext cx="7560046" cy="129957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8D8"/>
    <w:rsid w:val="00000DDE"/>
    <w:rsid w:val="0002317A"/>
    <w:rsid w:val="00034F32"/>
    <w:rsid w:val="00042FBD"/>
    <w:rsid w:val="00057D03"/>
    <w:rsid w:val="00064701"/>
    <w:rsid w:val="000652F0"/>
    <w:rsid w:val="0007616A"/>
    <w:rsid w:val="00090029"/>
    <w:rsid w:val="000917E1"/>
    <w:rsid w:val="00094FA6"/>
    <w:rsid w:val="000A070F"/>
    <w:rsid w:val="000C3C94"/>
    <w:rsid w:val="000D1468"/>
    <w:rsid w:val="000F068C"/>
    <w:rsid w:val="0012506C"/>
    <w:rsid w:val="0013130B"/>
    <w:rsid w:val="00135079"/>
    <w:rsid w:val="00143C7B"/>
    <w:rsid w:val="0015374C"/>
    <w:rsid w:val="00181BC4"/>
    <w:rsid w:val="001E49C6"/>
    <w:rsid w:val="001E75D1"/>
    <w:rsid w:val="002025A4"/>
    <w:rsid w:val="00205BEA"/>
    <w:rsid w:val="00224587"/>
    <w:rsid w:val="0022607B"/>
    <w:rsid w:val="00231B77"/>
    <w:rsid w:val="00242442"/>
    <w:rsid w:val="002579FC"/>
    <w:rsid w:val="002613A2"/>
    <w:rsid w:val="00265EFE"/>
    <w:rsid w:val="00282096"/>
    <w:rsid w:val="00282391"/>
    <w:rsid w:val="0028408C"/>
    <w:rsid w:val="00293700"/>
    <w:rsid w:val="002C4F3F"/>
    <w:rsid w:val="002F28D8"/>
    <w:rsid w:val="003019F7"/>
    <w:rsid w:val="00307386"/>
    <w:rsid w:val="00313C55"/>
    <w:rsid w:val="00314F77"/>
    <w:rsid w:val="0032282E"/>
    <w:rsid w:val="00361F4B"/>
    <w:rsid w:val="00364E04"/>
    <w:rsid w:val="00381475"/>
    <w:rsid w:val="00386D57"/>
    <w:rsid w:val="00397926"/>
    <w:rsid w:val="003A66F2"/>
    <w:rsid w:val="003B5CCA"/>
    <w:rsid w:val="003C7A3D"/>
    <w:rsid w:val="003D432D"/>
    <w:rsid w:val="003E101B"/>
    <w:rsid w:val="003F06B8"/>
    <w:rsid w:val="00407F11"/>
    <w:rsid w:val="004118C2"/>
    <w:rsid w:val="0042136F"/>
    <w:rsid w:val="004232E2"/>
    <w:rsid w:val="0042337A"/>
    <w:rsid w:val="00423FDB"/>
    <w:rsid w:val="00432BB1"/>
    <w:rsid w:val="00432EA5"/>
    <w:rsid w:val="0043616C"/>
    <w:rsid w:val="004514E8"/>
    <w:rsid w:val="0047046F"/>
    <w:rsid w:val="004848FF"/>
    <w:rsid w:val="00485C9E"/>
    <w:rsid w:val="00492645"/>
    <w:rsid w:val="00494681"/>
    <w:rsid w:val="004A2F5F"/>
    <w:rsid w:val="004B4AC2"/>
    <w:rsid w:val="004D6B4B"/>
    <w:rsid w:val="00521A77"/>
    <w:rsid w:val="00532F08"/>
    <w:rsid w:val="0055362B"/>
    <w:rsid w:val="00574E22"/>
    <w:rsid w:val="00574EF8"/>
    <w:rsid w:val="00585D8F"/>
    <w:rsid w:val="005913DB"/>
    <w:rsid w:val="005B16B7"/>
    <w:rsid w:val="005E3358"/>
    <w:rsid w:val="00601C21"/>
    <w:rsid w:val="00606306"/>
    <w:rsid w:val="00612DFB"/>
    <w:rsid w:val="006149CC"/>
    <w:rsid w:val="00625326"/>
    <w:rsid w:val="0063247F"/>
    <w:rsid w:val="0064022F"/>
    <w:rsid w:val="00665BA5"/>
    <w:rsid w:val="00666AE0"/>
    <w:rsid w:val="006C099A"/>
    <w:rsid w:val="006C52D2"/>
    <w:rsid w:val="006C5E98"/>
    <w:rsid w:val="006D6EEF"/>
    <w:rsid w:val="0072108C"/>
    <w:rsid w:val="00730DE0"/>
    <w:rsid w:val="0076379B"/>
    <w:rsid w:val="00782229"/>
    <w:rsid w:val="00793935"/>
    <w:rsid w:val="007A4BE8"/>
    <w:rsid w:val="007A4E72"/>
    <w:rsid w:val="007B3011"/>
    <w:rsid w:val="00812E87"/>
    <w:rsid w:val="00830A6B"/>
    <w:rsid w:val="00833E61"/>
    <w:rsid w:val="00850F83"/>
    <w:rsid w:val="00865C4E"/>
    <w:rsid w:val="00891B90"/>
    <w:rsid w:val="008A3514"/>
    <w:rsid w:val="008C0C3A"/>
    <w:rsid w:val="009002A5"/>
    <w:rsid w:val="009149FA"/>
    <w:rsid w:val="00931B69"/>
    <w:rsid w:val="009406B4"/>
    <w:rsid w:val="00952150"/>
    <w:rsid w:val="009607E1"/>
    <w:rsid w:val="0098175B"/>
    <w:rsid w:val="0099227F"/>
    <w:rsid w:val="009A3F5C"/>
    <w:rsid w:val="009B0DD0"/>
    <w:rsid w:val="009B3A64"/>
    <w:rsid w:val="009B5C67"/>
    <w:rsid w:val="009C0540"/>
    <w:rsid w:val="009C7C43"/>
    <w:rsid w:val="009D016F"/>
    <w:rsid w:val="009D6E83"/>
    <w:rsid w:val="009D752D"/>
    <w:rsid w:val="009F1AE8"/>
    <w:rsid w:val="009F35C9"/>
    <w:rsid w:val="009F528A"/>
    <w:rsid w:val="00A208A9"/>
    <w:rsid w:val="00A372E1"/>
    <w:rsid w:val="00A54431"/>
    <w:rsid w:val="00A85178"/>
    <w:rsid w:val="00AB5886"/>
    <w:rsid w:val="00AB5C47"/>
    <w:rsid w:val="00AC3322"/>
    <w:rsid w:val="00AC49C3"/>
    <w:rsid w:val="00AD0BC7"/>
    <w:rsid w:val="00AD19A0"/>
    <w:rsid w:val="00AD2CFF"/>
    <w:rsid w:val="00AD6477"/>
    <w:rsid w:val="00AE542F"/>
    <w:rsid w:val="00B07C32"/>
    <w:rsid w:val="00B156EE"/>
    <w:rsid w:val="00B16152"/>
    <w:rsid w:val="00B23F0A"/>
    <w:rsid w:val="00B24034"/>
    <w:rsid w:val="00B310AB"/>
    <w:rsid w:val="00B63449"/>
    <w:rsid w:val="00B92631"/>
    <w:rsid w:val="00B953F2"/>
    <w:rsid w:val="00BC19C0"/>
    <w:rsid w:val="00BD224E"/>
    <w:rsid w:val="00BD32C3"/>
    <w:rsid w:val="00BD69C7"/>
    <w:rsid w:val="00C10B7C"/>
    <w:rsid w:val="00C126FF"/>
    <w:rsid w:val="00C2017C"/>
    <w:rsid w:val="00C23AFE"/>
    <w:rsid w:val="00C60CC8"/>
    <w:rsid w:val="00C66B74"/>
    <w:rsid w:val="00C67520"/>
    <w:rsid w:val="00C802D9"/>
    <w:rsid w:val="00CA4C47"/>
    <w:rsid w:val="00CA77E2"/>
    <w:rsid w:val="00CF1470"/>
    <w:rsid w:val="00D00B4C"/>
    <w:rsid w:val="00D0150B"/>
    <w:rsid w:val="00D046B4"/>
    <w:rsid w:val="00D106FE"/>
    <w:rsid w:val="00D31761"/>
    <w:rsid w:val="00D40598"/>
    <w:rsid w:val="00D40AD6"/>
    <w:rsid w:val="00D64472"/>
    <w:rsid w:val="00D669AE"/>
    <w:rsid w:val="00D703B4"/>
    <w:rsid w:val="00D77B76"/>
    <w:rsid w:val="00DA3364"/>
    <w:rsid w:val="00DD1E58"/>
    <w:rsid w:val="00DD3CE6"/>
    <w:rsid w:val="00DE6C78"/>
    <w:rsid w:val="00DF3904"/>
    <w:rsid w:val="00E05962"/>
    <w:rsid w:val="00E2502F"/>
    <w:rsid w:val="00E35620"/>
    <w:rsid w:val="00E4403C"/>
    <w:rsid w:val="00E60900"/>
    <w:rsid w:val="00E66FCE"/>
    <w:rsid w:val="00E87B37"/>
    <w:rsid w:val="00E92378"/>
    <w:rsid w:val="00EA16D4"/>
    <w:rsid w:val="00EA3FA2"/>
    <w:rsid w:val="00EE505C"/>
    <w:rsid w:val="00F021E9"/>
    <w:rsid w:val="00F107F9"/>
    <w:rsid w:val="00F11CB8"/>
    <w:rsid w:val="00F553E9"/>
    <w:rsid w:val="00F55D65"/>
    <w:rsid w:val="00F63A3D"/>
    <w:rsid w:val="00F73CBE"/>
    <w:rsid w:val="00F772E1"/>
    <w:rsid w:val="00FA120D"/>
    <w:rsid w:val="00FC674D"/>
    <w:rsid w:val="00FE6D2C"/>
    <w:rsid w:val="172024A8"/>
    <w:rsid w:val="1FD3784F"/>
    <w:rsid w:val="33D27041"/>
    <w:rsid w:val="5AB91CBB"/>
    <w:rsid w:val="7AED61C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1C60"/>
  <w15:docId w15:val="{09AF3D25-B1EC-48A1-BCC7-2DE98DB1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8"/>
    </w:rPr>
  </w:style>
  <w:style w:type="paragraph" w:styleId="1">
    <w:name w:val="heading 1"/>
    <w:basedOn w:val="a"/>
    <w:link w:val="10"/>
    <w:uiPriority w:val="9"/>
    <w:qFormat/>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513"/>
        <w:tab w:val="right" w:pos="9026"/>
      </w:tabs>
      <w:spacing w:after="0" w:line="240" w:lineRule="auto"/>
    </w:pPr>
  </w:style>
  <w:style w:type="paragraph" w:styleId="a5">
    <w:name w:val="header"/>
    <w:basedOn w:val="a"/>
    <w:link w:val="a6"/>
    <w:uiPriority w:val="99"/>
    <w:unhideWhenUsed/>
    <w:qFormat/>
    <w:pPr>
      <w:tabs>
        <w:tab w:val="center" w:pos="4513"/>
        <w:tab w:val="right" w:pos="9026"/>
      </w:tabs>
      <w:spacing w:after="0" w:line="240" w:lineRule="auto"/>
    </w:pPr>
  </w:style>
  <w:style w:type="character" w:styleId="a7">
    <w:name w:val="Hyperlink"/>
    <w:basedOn w:val="a0"/>
    <w:uiPriority w:val="99"/>
    <w:unhideWhenUsed/>
    <w:qFormat/>
    <w:rPr>
      <w:color w:val="0000FF" w:themeColor="hyperlink"/>
      <w:u w:val="single"/>
    </w:rPr>
  </w:style>
  <w:style w:type="paragraph" w:styleId="a8">
    <w:name w:val="Normal (Web)"/>
    <w:basedOn w:val="a"/>
    <w:uiPriority w:val="99"/>
    <w:unhideWhenUsed/>
    <w:qFormat/>
    <w:pPr>
      <w:spacing w:before="100" w:beforeAutospacing="1" w:after="100" w:afterAutospacing="1" w:line="240" w:lineRule="auto"/>
    </w:pPr>
    <w:rPr>
      <w:rFonts w:ascii="Angsana New" w:eastAsia="Times New Roman" w:hAnsi="Angsana New" w:cs="Angsana New"/>
      <w:sz w:val="28"/>
    </w:rPr>
  </w:style>
  <w:style w:type="character" w:styleId="a9">
    <w:name w:val="page number"/>
    <w:basedOn w:val="a0"/>
    <w:uiPriority w:val="99"/>
    <w:semiHidden/>
    <w:unhideWhenUsed/>
    <w:qFormat/>
  </w:style>
  <w:style w:type="table" w:styleId="aa">
    <w:name w:val="Table Grid"/>
    <w:basedOn w:val="a1"/>
    <w:uiPriority w:val="39"/>
    <w:qFormat/>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Pr>
      <w:rFonts w:eastAsia="Arial Unicode MS"/>
    </w:rPr>
    <w:tblPr>
      <w:tblCellMar>
        <w:top w:w="0" w:type="dxa"/>
        <w:left w:w="0" w:type="dxa"/>
        <w:bottom w:w="0" w:type="dxa"/>
        <w:right w:w="0" w:type="dxa"/>
      </w:tblCellMar>
    </w:tblPr>
  </w:style>
  <w:style w:type="paragraph" w:customStyle="1" w:styleId="ab">
    <w:name w:val="ค่าเริ่มต้น"/>
    <w:qFormat/>
    <w:pPr>
      <w:spacing w:before="160" w:line="288" w:lineRule="auto"/>
    </w:pPr>
    <w:rPr>
      <w:rFonts w:ascii="Thonburi" w:eastAsia="Arial Unicode MS" w:hAnsi="Thonburi" w:cs="Arial Unicode MS"/>
      <w:color w:val="000000"/>
      <w:sz w:val="24"/>
      <w:szCs w:val="24"/>
      <w:u w:color="000000"/>
    </w:rPr>
  </w:style>
  <w:style w:type="character" w:customStyle="1" w:styleId="None">
    <w:name w:val="None"/>
    <w:qFormat/>
  </w:style>
  <w:style w:type="character" w:customStyle="1" w:styleId="a4">
    <w:name w:val="ท้ายกระดาษ อักขระ"/>
    <w:basedOn w:val="a0"/>
    <w:link w:val="a3"/>
    <w:uiPriority w:val="99"/>
    <w:qFormat/>
  </w:style>
  <w:style w:type="character" w:customStyle="1" w:styleId="a6">
    <w:name w:val="หัวกระดาษ อักขระ"/>
    <w:basedOn w:val="a0"/>
    <w:link w:val="a5"/>
    <w:uiPriority w:val="99"/>
    <w:qFormat/>
  </w:style>
  <w:style w:type="paragraph" w:styleId="ac">
    <w:name w:val="List Paragraph"/>
    <w:basedOn w:val="a"/>
    <w:uiPriority w:val="34"/>
    <w:qFormat/>
    <w:pPr>
      <w:ind w:left="720"/>
      <w:contextualSpacing/>
    </w:pPr>
  </w:style>
  <w:style w:type="paragraph" w:styleId="ad">
    <w:name w:val="No Spacing"/>
    <w:uiPriority w:val="1"/>
    <w:qFormat/>
    <w:rPr>
      <w:rFonts w:asciiTheme="minorHAnsi" w:eastAsiaTheme="minorHAnsi" w:hAnsiTheme="minorHAnsi" w:cstheme="minorBidi"/>
      <w:sz w:val="22"/>
      <w:szCs w:val="28"/>
    </w:rPr>
  </w:style>
  <w:style w:type="character" w:customStyle="1" w:styleId="10">
    <w:name w:val="หัวเรื่อง 1 อักขระ"/>
    <w:basedOn w:val="a0"/>
    <w:link w:val="1"/>
    <w:uiPriority w:val="9"/>
    <w:qFormat/>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1863</Words>
  <Characters>10624</Characters>
  <Application>Microsoft Office Word</Application>
  <DocSecurity>0</DocSecurity>
  <Lines>88</Lines>
  <Paragraphs>24</Paragraphs>
  <ScaleCrop>false</ScaleCrop>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wadee le</cp:lastModifiedBy>
  <cp:revision>18</cp:revision>
  <cp:lastPrinted>2026-07-14T10:26:00Z</cp:lastPrinted>
  <dcterms:created xsi:type="dcterms:W3CDTF">2026-07-14T02:51:00Z</dcterms:created>
  <dcterms:modified xsi:type="dcterms:W3CDTF">2026-07-14T10:44:00Z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eyJoZGlkIjoiMTQxMjU2ZDVkNjA4N2FkMTQzMjU2Y2VmYTAzNWFjZTkifQ==</vt:lpwstr>
  </property>
  <property fmtid="{D5CDD505-2E9C-101B-9397-08002B2CF9AE}" pid="3" name="KSOProductBuildVer">
    <vt:lpwstr>1033-12.1.0.26880</vt:lpwstr>
  </property>
  <property fmtid="{D5CDD505-2E9C-101B-9397-08002B2CF9AE}" pid="4" name="ICV">
    <vt:lpwstr>EAF2D53CF6604780AE50E1A45B12A7CE_12</vt:lpwstr>
  </property>
</Properties>
</file>