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เนื้อหา"/>
        <w:spacing w:after="0" w:line="240" w:lineRule="auto"/>
        <w:jc w:val="both"/>
        <w:rPr>
          <w:rFonts w:ascii="TH SarabunPSK" w:cs="TH SarabunPSK" w:hAnsi="TH SarabunPSK" w:eastAsia="TH SarabunPSK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เนื้อหา"/>
        <w:widowControl w:val="0"/>
        <w:spacing w:line="263" w:lineRule="auto"/>
        <w:ind w:left="470" w:right="253" w:firstLine="0"/>
        <w:jc w:val="center"/>
        <w:rPr>
          <w:rFonts w:ascii="TH SarabunPSK" w:cs="TH SarabunPSK" w:hAnsi="TH SarabunPSK" w:eastAsia="TH SarabunPSK"/>
          <w:b w:val="1"/>
          <w:bCs w:val="1"/>
          <w:outline w:val="0"/>
          <w:color w:val="ff0000"/>
          <w:sz w:val="31"/>
          <w:szCs w:val="31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TH SarabunPSK" w:hAnsi="TH SarabunPSK"/>
          <w:b w:val="1"/>
          <w:bCs w:val="1"/>
          <w:outline w:val="0"/>
          <w:color w:val="000000"/>
          <w:sz w:val="31"/>
          <w:szCs w:val="31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Investigation and Comparative Study of Zinc Oxide Nanoparticles Synthesized via Green</w:t>
      </w:r>
      <w:r>
        <w:rPr>
          <w:rFonts w:ascii="TH SarabunPSK" w:hAnsi="TH SarabunPSK"/>
          <w:b w:val="1"/>
          <w:bCs w:val="1"/>
          <w:outline w:val="0"/>
          <w:color w:val="000000"/>
          <w:sz w:val="31"/>
          <w:szCs w:val="31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H SarabunPSK" w:hAnsi="TH SarabunPSK"/>
          <w:b w:val="1"/>
          <w:bCs w:val="1"/>
          <w:outline w:val="0"/>
          <w:color w:val="000000"/>
          <w:sz w:val="31"/>
          <w:szCs w:val="31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Chemistry and Sol</w:t>
      </w:r>
      <w:r>
        <w:rPr>
          <w:rFonts w:ascii="TH SarabunPSK" w:hAnsi="TH SarabunPSK" w:hint="default"/>
          <w:b w:val="1"/>
          <w:bCs w:val="1"/>
          <w:outline w:val="0"/>
          <w:color w:val="000000"/>
          <w:sz w:val="31"/>
          <w:szCs w:val="31"/>
          <w:u w:color="000000"/>
          <w:rtl w:val="0"/>
          <w14:textFill>
            <w14:solidFill>
              <w14:srgbClr w14:val="000000"/>
            </w14:solidFill>
          </w14:textFill>
        </w:rPr>
        <w:t>–</w:t>
      </w:r>
      <w:r>
        <w:rPr>
          <w:rFonts w:ascii="TH SarabunPSK" w:hAnsi="TH SarabunPSK"/>
          <w:b w:val="1"/>
          <w:bCs w:val="1"/>
          <w:outline w:val="0"/>
          <w:color w:val="000000"/>
          <w:sz w:val="31"/>
          <w:szCs w:val="31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Gel Methods for Textile Coating and Photocatalytic Degradation</w:t>
      </w:r>
      <w:r>
        <w:rPr>
          <w:rFonts w:ascii="TH SarabunPSK" w:hAnsi="TH SarabunPSK"/>
          <w:b w:val="1"/>
          <w:bCs w:val="1"/>
          <w:outline w:val="0"/>
          <w:color w:val="000000"/>
          <w:sz w:val="31"/>
          <w:szCs w:val="31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H SarabunPSK" w:hAnsi="TH SarabunPSK"/>
          <w:b w:val="1"/>
          <w:bCs w:val="1"/>
          <w:outline w:val="0"/>
          <w:color w:val="000000"/>
          <w:sz w:val="31"/>
          <w:szCs w:val="31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of</w:t>
      </w:r>
      <w:r>
        <w:rPr>
          <w:rFonts w:ascii="TH SarabunPSK" w:hAnsi="TH SarabunPSK"/>
          <w:b w:val="1"/>
          <w:bCs w:val="1"/>
          <w:outline w:val="0"/>
          <w:color w:val="000000"/>
          <w:sz w:val="31"/>
          <w:szCs w:val="31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H SarabunPSK" w:hAnsi="TH SarabunPSK"/>
          <w:b w:val="1"/>
          <w:bCs w:val="1"/>
          <w:outline w:val="0"/>
          <w:color w:val="000000"/>
          <w:sz w:val="31"/>
          <w:szCs w:val="31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Methylene Blue </w:t>
      </w:r>
      <w:r>
        <w:rPr>
          <w:rFonts w:ascii="TH SarabunPSK" w:hAnsi="TH SarabunPSK"/>
          <w:b w:val="1"/>
          <w:bCs w:val="1"/>
          <w:outline w:val="0"/>
          <w:color w:val="ff0000"/>
          <w:sz w:val="31"/>
          <w:szCs w:val="31"/>
          <w:u w:color="ff0000"/>
          <w:rtl w:val="0"/>
          <w14:textFill>
            <w14:solidFill>
              <w14:srgbClr w14:val="FF0000"/>
            </w14:solidFill>
          </w14:textFill>
        </w:rPr>
        <w:t xml:space="preserve"> </w:t>
      </w:r>
    </w:p>
    <w:p>
      <w:pPr>
        <w:pStyle w:val="ค่าเริ่มต้น"/>
        <w:suppressAutoHyphens w:val="1"/>
        <w:spacing w:before="0" w:line="240" w:lineRule="auto"/>
        <w:jc w:val="center"/>
        <w:rPr>
          <w:rFonts w:ascii="TH SarabunPSK" w:cs="TH SarabunPSK" w:hAnsi="TH SarabunPSK" w:eastAsia="TH SarabunPSK"/>
          <w:sz w:val="30"/>
          <w:szCs w:val="30"/>
          <w:vertAlign w:val="superscript"/>
        </w:rPr>
      </w:pPr>
      <w:r>
        <w:rPr>
          <w:rFonts w:ascii="TH SarabunPSK" w:hAnsi="TH SarabunPSK"/>
          <w:outline w:val="0"/>
          <w:color w:val="000000"/>
          <w:sz w:val="28"/>
          <w:szCs w:val="28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Chatrnichanan</w:t>
      </w:r>
      <w:r>
        <w:rPr>
          <w:rFonts w:ascii="TH SarabunPSK" w:hAnsi="TH SarabunPSK"/>
          <w:sz w:val="28"/>
          <w:szCs w:val="28"/>
          <w:rtl w:val="0"/>
        </w:rPr>
        <w:t xml:space="preserve"> </w:t>
      </w:r>
      <w:r>
        <w:rPr>
          <w:rFonts w:ascii="TH SarabunPSK" w:hAnsi="TH SarabunPSK"/>
          <w:sz w:val="28"/>
          <w:szCs w:val="28"/>
          <w:rtl w:val="0"/>
          <w:lang w:val="en-US"/>
        </w:rPr>
        <w:t>Naidan</w:t>
      </w:r>
      <w:r>
        <w:rPr>
          <w:rFonts w:ascii="TH SarabunPSK" w:hAnsi="TH SarabunPSK"/>
          <w:sz w:val="30"/>
          <w:szCs w:val="30"/>
          <w:vertAlign w:val="superscript"/>
          <w:rtl w:val="0"/>
        </w:rPr>
        <w:t>1</w:t>
      </w:r>
      <w:r>
        <w:rPr>
          <w:rFonts w:ascii="TH SarabunPSK" w:hAnsi="TH SarabunPSK"/>
          <w:sz w:val="28"/>
          <w:szCs w:val="28"/>
          <w:rtl w:val="0"/>
        </w:rPr>
        <w:t>, Sirawan Kwangkhwang</w:t>
      </w:r>
      <w:r>
        <w:rPr>
          <w:rFonts w:ascii="TH SarabunPSK" w:hAnsi="TH SarabunPSK"/>
          <w:sz w:val="30"/>
          <w:szCs w:val="30"/>
          <w:vertAlign w:val="superscript"/>
          <w:rtl w:val="0"/>
        </w:rPr>
        <w:t>1</w:t>
      </w:r>
      <w:r>
        <w:rPr>
          <w:rFonts w:ascii="TH SarabunPSK" w:hAnsi="TH SarabunPSK"/>
          <w:sz w:val="30"/>
          <w:szCs w:val="30"/>
          <w:vertAlign w:val="superscript"/>
          <w:rtl w:val="0"/>
          <w:lang w:val="en-US"/>
        </w:rPr>
        <w:t xml:space="preserve"> </w:t>
      </w:r>
      <w:r>
        <w:rPr>
          <w:rFonts w:ascii="TH SarabunPSK" w:hAnsi="TH SarabunPSK"/>
          <w:sz w:val="28"/>
          <w:szCs w:val="28"/>
          <w:rtl w:val="0"/>
          <w:lang w:val="en-US"/>
        </w:rPr>
        <w:t>, Sutthida Netsawang</w:t>
      </w:r>
      <w:r>
        <w:rPr>
          <w:rFonts w:ascii="TH SarabunPSK" w:hAnsi="TH SarabunPSK"/>
          <w:sz w:val="30"/>
          <w:szCs w:val="30"/>
          <w:vertAlign w:val="superscript"/>
          <w:rtl w:val="0"/>
        </w:rPr>
        <w:t>1</w:t>
      </w:r>
      <w:r>
        <w:rPr>
          <w:rFonts w:ascii="TH SarabunPSK" w:hAnsi="TH SarabunPSK"/>
          <w:sz w:val="30"/>
          <w:szCs w:val="30"/>
          <w:vertAlign w:val="superscript"/>
          <w:rtl w:val="0"/>
        </w:rPr>
        <w:t>*</w:t>
      </w:r>
      <w:r>
        <w:rPr>
          <w:rFonts w:ascii="TH SarabunPSK" w:hAnsi="TH SarabunPSK"/>
          <w:sz w:val="28"/>
          <w:szCs w:val="28"/>
          <w:vertAlign w:val="superscript"/>
          <w:rtl w:val="0"/>
          <w:lang w:val="en-US"/>
        </w:rPr>
        <w:t xml:space="preserve"> </w:t>
      </w:r>
      <w:r>
        <w:rPr>
          <w:rFonts w:ascii="TH SarabunPSK" w:hAnsi="TH SarabunPSK"/>
          <w:sz w:val="28"/>
          <w:szCs w:val="28"/>
          <w:rtl w:val="0"/>
          <w:lang w:val="en-US"/>
        </w:rPr>
        <w:t xml:space="preserve">and </w:t>
      </w:r>
      <w:r>
        <w:rPr>
          <w:rFonts w:ascii="TH SarabunPSK" w:hAnsi="TH SarabunPSK"/>
          <w:sz w:val="28"/>
          <w:szCs w:val="28"/>
          <w:rtl w:val="0"/>
        </w:rPr>
        <w:t>Teerapat Khanjai</w:t>
      </w:r>
      <w:r>
        <w:rPr>
          <w:rFonts w:ascii="TH SarabunPSK" w:hAnsi="TH SarabunPSK"/>
          <w:sz w:val="28"/>
          <w:szCs w:val="28"/>
          <w:vertAlign w:val="superscript"/>
          <w:rtl w:val="0"/>
          <w:lang w:val="en-US"/>
        </w:rPr>
        <w:t>1</w:t>
      </w:r>
    </w:p>
    <w:p>
      <w:pPr>
        <w:pStyle w:val="เนื้อหา"/>
        <w:widowControl w:val="0"/>
        <w:spacing w:after="0" w:line="240" w:lineRule="auto"/>
        <w:ind w:left="215" w:firstLine="0"/>
        <w:jc w:val="center"/>
        <w:rPr>
          <w:sz w:val="26"/>
          <w:szCs w:val="26"/>
        </w:rPr>
      </w:pPr>
      <w:r>
        <w:rPr>
          <w:rFonts w:ascii="TH SarabunPSK" w:hAnsi="TH SarabunPSK"/>
          <w:i w:val="1"/>
          <w:iCs w:val="1"/>
          <w:sz w:val="26"/>
          <w:szCs w:val="26"/>
          <w:u w:color="ff0000"/>
          <w:vertAlign w:val="superscript"/>
          <w:rtl w:val="0"/>
        </w:rPr>
        <w:t>1</w:t>
      </w:r>
      <w:r>
        <w:rPr>
          <w:rFonts w:ascii="TH SarabunPSK" w:hAnsi="TH SarabunPSK"/>
          <w:i w:val="1"/>
          <w:iCs w:val="1"/>
          <w:sz w:val="26"/>
          <w:szCs w:val="26"/>
          <w:u w:color="ff0000"/>
          <w:rtl w:val="0"/>
          <w:lang w:val="en-US"/>
        </w:rPr>
        <w:t xml:space="preserve">Princess Chulabhorn Science High School </w:t>
      </w:r>
      <w:r>
        <w:rPr>
          <w:rFonts w:ascii="TH SarabunPSK" w:hAnsi="TH SarabunPSK"/>
          <w:sz w:val="26"/>
          <w:szCs w:val="26"/>
          <w:rtl w:val="0"/>
          <w:lang w:val="de-DE"/>
        </w:rPr>
        <w:t>Chiang Rai</w:t>
      </w:r>
      <w:r>
        <w:rPr>
          <w:rFonts w:ascii="TH SarabunPSK" w:hAnsi="TH SarabunPSK"/>
          <w:i w:val="1"/>
          <w:iCs w:val="1"/>
          <w:sz w:val="26"/>
          <w:szCs w:val="26"/>
          <w:u w:color="ff0000"/>
          <w:rtl w:val="0"/>
        </w:rPr>
        <w:t xml:space="preserve">, </w:t>
      </w:r>
      <w:r>
        <w:rPr>
          <w:rFonts w:ascii="TH SarabunPSK" w:hAnsi="TH SarabunPSK"/>
          <w:sz w:val="26"/>
          <w:szCs w:val="26"/>
          <w:rtl w:val="0"/>
          <w:lang w:val="en-US"/>
        </w:rPr>
        <w:t>345 Moo 2 Rob Wiang Subdistrict, Muang District,Chiang Rai 57000, Thailand</w:t>
      </w:r>
    </w:p>
    <w:p>
      <w:pPr>
        <w:pStyle w:val="เนื้อหา"/>
        <w:widowControl w:val="0"/>
        <w:spacing w:after="0" w:line="240" w:lineRule="auto"/>
        <w:ind w:left="762" w:right="620" w:firstLine="0"/>
        <w:jc w:val="center"/>
        <w:rPr>
          <w:rFonts w:ascii="TH SarabunPSK" w:cs="TH SarabunPSK" w:hAnsi="TH SarabunPSK" w:eastAsia="TH SarabunPSK"/>
          <w:i w:val="1"/>
          <w:iCs w:val="1"/>
          <w:outline w:val="0"/>
          <w:color w:val="ff0000"/>
          <w:sz w:val="24"/>
          <w:szCs w:val="24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TH SarabunPSK" w:hAnsi="TH SarabunPSK"/>
          <w:i w:val="1"/>
          <w:iCs w:val="1"/>
          <w:sz w:val="26"/>
          <w:szCs w:val="26"/>
          <w:u w:color="ff0000"/>
          <w:rtl w:val="0"/>
        </w:rPr>
        <w:t xml:space="preserve">*E-mail: </w:t>
      </w:r>
      <w:r>
        <w:rPr>
          <w:rFonts w:ascii="TH SarabunPSK" w:hAnsi="TH SarabunPSK"/>
          <w:i w:val="1"/>
          <w:iCs w:val="1"/>
          <w:sz w:val="26"/>
          <w:szCs w:val="26"/>
          <w:u w:color="ff0000"/>
          <w:rtl w:val="0"/>
          <w:lang w:val="en-US"/>
        </w:rPr>
        <w:t>05855sutthida@pcccr</w:t>
      </w:r>
      <w:r>
        <w:rPr>
          <w:rFonts w:ascii="TH SarabunPSK" w:hAnsi="TH SarabunPSK"/>
          <w:i w:val="1"/>
          <w:iCs w:val="1"/>
          <w:sz w:val="26"/>
          <w:szCs w:val="26"/>
          <w:u w:color="ff0000"/>
          <w:rtl w:val="0"/>
          <w:lang w:val="en-US"/>
        </w:rPr>
        <w:t xml:space="preserve">.ac.th </w:t>
      </w:r>
    </w:p>
    <w:p>
      <w:pPr>
        <w:pStyle w:val="เนื้อหา"/>
        <w:widowControl w:val="0"/>
        <w:spacing w:before="242" w:line="240" w:lineRule="auto"/>
        <w:ind w:right="3938"/>
        <w:jc w:val="right"/>
        <w:rPr>
          <w:rFonts w:ascii="TH SarabunPSK" w:cs="TH SarabunPSK" w:hAnsi="TH SarabunPSK" w:eastAsia="TH SarabunPSK"/>
          <w:b w:val="1"/>
          <w:bCs w:val="1"/>
          <w:outline w:val="0"/>
          <w:color w:val="000000"/>
          <w:sz w:val="31"/>
          <w:szCs w:val="3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H SarabunPSK" w:hAnsi="TH SarabunPSK"/>
          <w:b w:val="1"/>
          <w:bCs w:val="1"/>
          <w:outline w:val="0"/>
          <w:color w:val="000000"/>
          <w:sz w:val="31"/>
          <w:szCs w:val="31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Abstract </w:t>
      </w:r>
    </w:p>
    <w:p>
      <w:pPr>
        <w:pStyle w:val="ค่าเริ่มต้น"/>
        <w:suppressAutoHyphens w:val="1"/>
        <w:spacing w:before="0" w:line="240" w:lineRule="auto"/>
        <w:jc w:val="both"/>
        <w:rPr>
          <w:rFonts w:ascii="TH SarabunPSK" w:cs="TH SarabunPSK" w:hAnsi="TH SarabunPSK" w:eastAsia="TH SarabunPSK"/>
          <w:sz w:val="31"/>
          <w:szCs w:val="31"/>
          <w:u w:color="000000"/>
        </w:rPr>
      </w:pPr>
      <w:r>
        <w:rPr>
          <w:rFonts w:ascii="TH SarabunPSK" w:cs="TH SarabunPSK" w:hAnsi="TH SarabunPSK" w:eastAsia="TH SarabunPSK"/>
          <w:b w:val="1"/>
          <w:bCs w:val="1"/>
          <w:outline w:val="0"/>
          <w:color w:val="000000"/>
          <w:sz w:val="31"/>
          <w:szCs w:val="31"/>
          <w:u w:color="000000"/>
          <w14:textFill>
            <w14:solidFill>
              <w14:srgbClr w14:val="000000"/>
            </w14:solidFill>
          </w14:textFill>
        </w:rPr>
        <w:tab/>
      </w:r>
      <w:r>
        <w:rPr>
          <w:rFonts w:ascii="TH SarabunPSK" w:hAnsi="TH SarabunPSK"/>
          <w:sz w:val="31"/>
          <w:szCs w:val="31"/>
          <w:u w:color="000000"/>
          <w:rtl w:val="0"/>
          <w:lang w:val="en-US"/>
        </w:rPr>
        <w:t>This project aims to study the green synthesis of zinc oxide nanoparticles and to evaluate</w:t>
      </w:r>
      <w:r>
        <w:rPr>
          <w:rFonts w:ascii="TH SarabunPSK" w:hAnsi="TH SarabunPSK"/>
          <w:sz w:val="31"/>
          <w:szCs w:val="31"/>
          <w:u w:color="000000"/>
          <w:rtl w:val="0"/>
          <w:lang w:val="en-US"/>
        </w:rPr>
        <w:t xml:space="preserve"> </w:t>
      </w:r>
      <w:r>
        <w:rPr>
          <w:rFonts w:ascii="TH SarabunPSK" w:hAnsi="TH SarabunPSK"/>
          <w:sz w:val="31"/>
          <w:szCs w:val="31"/>
          <w:u w:color="000000"/>
          <w:rtl w:val="0"/>
          <w:lang w:val="en-US"/>
        </w:rPr>
        <w:t>their performance in cotton fabric coating and methylene blue degradation. Zinc oxide</w:t>
      </w:r>
      <w:r>
        <w:rPr>
          <w:rFonts w:ascii="TH SarabunPSK" w:hAnsi="TH SarabunPSK"/>
          <w:sz w:val="31"/>
          <w:szCs w:val="31"/>
          <w:u w:color="000000"/>
          <w:rtl w:val="0"/>
          <w:lang w:val="en-US"/>
        </w:rPr>
        <w:t xml:space="preserve"> </w:t>
      </w:r>
      <w:r>
        <w:rPr>
          <w:rFonts w:ascii="TH SarabunPSK" w:hAnsi="TH SarabunPSK"/>
          <w:sz w:val="31"/>
          <w:szCs w:val="31"/>
          <w:u w:color="000000"/>
          <w:rtl w:val="0"/>
          <w:lang w:val="en-US"/>
        </w:rPr>
        <w:t>nanoparticles were synthesized using coriander leaf extract and the sol</w:t>
      </w:r>
      <w:r>
        <w:rPr>
          <w:rFonts w:ascii="TH SarabunPSK" w:hAnsi="TH SarabunPSK" w:hint="default"/>
          <w:sz w:val="31"/>
          <w:szCs w:val="31"/>
          <w:u w:color="000000"/>
          <w:rtl w:val="0"/>
        </w:rPr>
        <w:t>–</w:t>
      </w:r>
      <w:r>
        <w:rPr>
          <w:rFonts w:ascii="TH SarabunPSK" w:hAnsi="TH SarabunPSK"/>
          <w:sz w:val="31"/>
          <w:szCs w:val="31"/>
          <w:u w:color="000000"/>
          <w:rtl w:val="0"/>
          <w:lang w:val="en-US"/>
        </w:rPr>
        <w:t>gel method. The</w:t>
      </w:r>
      <w:r>
        <w:rPr>
          <w:rFonts w:ascii="TH SarabunPSK" w:hAnsi="TH SarabunPSK"/>
          <w:sz w:val="31"/>
          <w:szCs w:val="31"/>
          <w:u w:color="000000"/>
          <w:rtl w:val="0"/>
          <w:lang w:val="en-US"/>
        </w:rPr>
        <w:t xml:space="preserve"> </w:t>
      </w:r>
      <w:r>
        <w:rPr>
          <w:rFonts w:ascii="TH SarabunPSK" w:hAnsi="TH SarabunPSK"/>
          <w:sz w:val="31"/>
          <w:szCs w:val="31"/>
          <w:u w:color="000000"/>
          <w:rtl w:val="0"/>
          <w:lang w:val="en-US"/>
        </w:rPr>
        <w:t>nanoparticles were applied to cotton fabric by dipcoating and spray-coating, and water contact</w:t>
      </w:r>
      <w:r>
        <w:rPr>
          <w:rFonts w:ascii="TH SarabunPSK" w:hAnsi="TH SarabunPSK"/>
          <w:sz w:val="31"/>
          <w:szCs w:val="31"/>
          <w:u w:color="000000"/>
          <w:rtl w:val="0"/>
          <w:lang w:val="en-US"/>
        </w:rPr>
        <w:t xml:space="preserve"> </w:t>
      </w:r>
      <w:r>
        <w:rPr>
          <w:rFonts w:ascii="TH SarabunPSK" w:hAnsi="TH SarabunPSK"/>
          <w:sz w:val="31"/>
          <w:szCs w:val="31"/>
          <w:u w:color="000000"/>
          <w:rtl w:val="0"/>
          <w:lang w:val="en-US"/>
        </w:rPr>
        <w:t>angles were measured. The green-synthesized TEM image shows size of nanoparticles at about</w:t>
      </w:r>
      <w:r>
        <w:rPr>
          <w:rFonts w:ascii="TH SarabunPSK" w:hAnsi="TH SarabunPSK"/>
          <w:sz w:val="31"/>
          <w:szCs w:val="31"/>
          <w:u w:color="000000"/>
          <w:rtl w:val="0"/>
          <w:lang w:val="en-US"/>
        </w:rPr>
        <w:t xml:space="preserve"> </w:t>
      </w:r>
      <w:r>
        <w:rPr>
          <w:rFonts w:ascii="TH SarabunPSK" w:hAnsi="TH SarabunPSK"/>
          <w:sz w:val="31"/>
          <w:szCs w:val="31"/>
          <w:u w:color="000000"/>
          <w:rtl w:val="0"/>
          <w:lang w:val="en-US"/>
        </w:rPr>
        <w:t>100-150 nm, while sol</w:t>
      </w:r>
      <w:r>
        <w:rPr>
          <w:rFonts w:ascii="TH SarabunPSK" w:hAnsi="TH SarabunPSK" w:hint="default"/>
          <w:sz w:val="31"/>
          <w:szCs w:val="31"/>
          <w:u w:color="000000"/>
          <w:rtl w:val="0"/>
        </w:rPr>
        <w:t>–</w:t>
      </w:r>
      <w:r>
        <w:rPr>
          <w:rFonts w:ascii="TH SarabunPSK" w:hAnsi="TH SarabunPSK"/>
          <w:sz w:val="31"/>
          <w:szCs w:val="31"/>
          <w:u w:color="000000"/>
          <w:rtl w:val="0"/>
          <w:lang w:val="en-US"/>
        </w:rPr>
        <w:t>gel nanoparticles at 5</w:t>
      </w:r>
      <w:r>
        <w:rPr>
          <w:rFonts w:ascii="TH SarabunPSK" w:hAnsi="TH SarabunPSK" w:hint="default"/>
          <w:sz w:val="31"/>
          <w:szCs w:val="31"/>
          <w:u w:color="000000"/>
          <w:rtl w:val="0"/>
        </w:rPr>
        <w:t>–</w:t>
      </w:r>
      <w:r>
        <w:rPr>
          <w:rFonts w:ascii="TH SarabunPSK" w:hAnsi="TH SarabunPSK"/>
          <w:sz w:val="31"/>
          <w:szCs w:val="31"/>
          <w:u w:color="000000"/>
          <w:rtl w:val="0"/>
          <w:lang w:val="it-IT"/>
        </w:rPr>
        <w:t>20 nm. Cotton</w:t>
      </w:r>
      <w:r>
        <w:rPr>
          <w:rFonts w:ascii="TH SarabunPSK" w:hAnsi="TH SarabunPSK"/>
          <w:sz w:val="31"/>
          <w:szCs w:val="31"/>
          <w:u w:color="000000"/>
          <w:rtl w:val="0"/>
          <w:lang w:val="en-US"/>
        </w:rPr>
        <w:t xml:space="preserve"> </w:t>
      </w:r>
      <w:r>
        <w:rPr>
          <w:rFonts w:ascii="TH SarabunPSK" w:hAnsi="TH SarabunPSK"/>
          <w:sz w:val="31"/>
          <w:szCs w:val="31"/>
          <w:u w:color="000000"/>
          <w:rtl w:val="0"/>
          <w:lang w:val="en-US"/>
        </w:rPr>
        <w:t>coated with sol</w:t>
      </w:r>
      <w:r>
        <w:rPr>
          <w:rFonts w:ascii="TH SarabunPSK" w:hAnsi="TH SarabunPSK" w:hint="default"/>
          <w:sz w:val="31"/>
          <w:szCs w:val="31"/>
          <w:u w:color="000000"/>
          <w:rtl w:val="0"/>
        </w:rPr>
        <w:t>–</w:t>
      </w:r>
      <w:r>
        <w:rPr>
          <w:rFonts w:ascii="TH SarabunPSK" w:hAnsi="TH SarabunPSK"/>
          <w:sz w:val="31"/>
          <w:szCs w:val="31"/>
          <w:u w:color="000000"/>
          <w:rtl w:val="0"/>
          <w:lang w:val="en-US"/>
        </w:rPr>
        <w:t>gel nanoparticles</w:t>
      </w:r>
      <w:r>
        <w:rPr>
          <w:rFonts w:ascii="TH SarabunPSK" w:hAnsi="TH SarabunPSK"/>
          <w:sz w:val="31"/>
          <w:szCs w:val="31"/>
          <w:u w:color="000000"/>
          <w:rtl w:val="0"/>
          <w:lang w:val="en-US"/>
        </w:rPr>
        <w:t xml:space="preserve"> </w:t>
      </w:r>
      <w:r>
        <w:rPr>
          <w:rFonts w:ascii="TH SarabunPSK" w:hAnsi="TH SarabunPSK"/>
          <w:sz w:val="31"/>
          <w:szCs w:val="31"/>
          <w:u w:color="000000"/>
          <w:rtl w:val="0"/>
          <w:lang w:val="en-US"/>
        </w:rPr>
        <w:t>showed a higher water contact angle at 79.23</w:t>
      </w:r>
      <w:r>
        <w:rPr>
          <w:rFonts w:ascii="TH SarabunPSK" w:hAnsi="TH SarabunPSK" w:hint="default"/>
          <w:sz w:val="31"/>
          <w:szCs w:val="31"/>
          <w:u w:color="000000"/>
          <w:rtl w:val="0"/>
          <w:lang w:val="it-IT"/>
        </w:rPr>
        <w:t xml:space="preserve">° </w:t>
      </w:r>
      <w:r>
        <w:rPr>
          <w:rFonts w:ascii="TH SarabunPSK" w:hAnsi="TH SarabunPSK"/>
          <w:sz w:val="31"/>
          <w:szCs w:val="31"/>
          <w:u w:color="000000"/>
          <w:rtl w:val="0"/>
          <w:lang w:val="en-US"/>
        </w:rPr>
        <w:t>compared to 74.00</w:t>
      </w:r>
      <w:r>
        <w:rPr>
          <w:rFonts w:ascii="TH SarabunPSK" w:hAnsi="TH SarabunPSK" w:hint="default"/>
          <w:sz w:val="31"/>
          <w:szCs w:val="31"/>
          <w:u w:color="000000"/>
          <w:rtl w:val="0"/>
          <w:lang w:val="it-IT"/>
        </w:rPr>
        <w:t xml:space="preserve">° </w:t>
      </w:r>
      <w:r>
        <w:rPr>
          <w:rFonts w:ascii="TH SarabunPSK" w:hAnsi="TH SarabunPSK"/>
          <w:sz w:val="31"/>
          <w:szCs w:val="31"/>
          <w:u w:color="000000"/>
          <w:rtl w:val="0"/>
          <w:lang w:val="en-US"/>
        </w:rPr>
        <w:t>from the green method,</w:t>
      </w:r>
      <w:r>
        <w:rPr>
          <w:rFonts w:ascii="TH SarabunPSK" w:hAnsi="TH SarabunPSK"/>
          <w:sz w:val="31"/>
          <w:szCs w:val="31"/>
          <w:u w:color="000000"/>
          <w:rtl w:val="0"/>
          <w:lang w:val="en-US"/>
        </w:rPr>
        <w:t xml:space="preserve"> </w:t>
      </w:r>
      <w:r>
        <w:rPr>
          <w:rFonts w:ascii="TH SarabunPSK" w:hAnsi="TH SarabunPSK"/>
          <w:sz w:val="31"/>
          <w:szCs w:val="31"/>
          <w:u w:color="000000"/>
          <w:rtl w:val="0"/>
          <w:lang w:val="en-US"/>
        </w:rPr>
        <w:t>maintaining hydrophobicity after 15 washing cycles; spray-coating also performed better than dip-coating. In methylene blue degradation, sol</w:t>
      </w:r>
      <w:r>
        <w:rPr>
          <w:rFonts w:ascii="TH SarabunPSK" w:hAnsi="TH SarabunPSK" w:hint="default"/>
          <w:sz w:val="31"/>
          <w:szCs w:val="31"/>
          <w:u w:color="000000"/>
          <w:rtl w:val="0"/>
        </w:rPr>
        <w:t>–</w:t>
      </w:r>
      <w:r>
        <w:rPr>
          <w:rFonts w:ascii="TH SarabunPSK" w:hAnsi="TH SarabunPSK"/>
          <w:sz w:val="31"/>
          <w:szCs w:val="31"/>
          <w:u w:color="000000"/>
          <w:rtl w:val="0"/>
          <w:lang w:val="en-US"/>
        </w:rPr>
        <w:t>gel ZnO showed the highest efficiency at 56.5%,</w:t>
      </w:r>
      <w:r>
        <w:rPr>
          <w:rFonts w:ascii="TH SarabunPSK" w:hAnsi="TH SarabunPSK"/>
          <w:sz w:val="31"/>
          <w:szCs w:val="31"/>
          <w:u w:color="000000"/>
          <w:rtl w:val="0"/>
          <w:lang w:val="en-US"/>
        </w:rPr>
        <w:t xml:space="preserve"> </w:t>
      </w:r>
      <w:r>
        <w:rPr>
          <w:rFonts w:ascii="TH SarabunPSK" w:hAnsi="TH SarabunPSK"/>
          <w:sz w:val="31"/>
          <w:szCs w:val="31"/>
          <w:u w:color="000000"/>
          <w:rtl w:val="0"/>
          <w:lang w:val="en-US"/>
        </w:rPr>
        <w:t>whereas the green method achieved 40.58%. These findings indicated that the sol</w:t>
      </w:r>
      <w:r>
        <w:rPr>
          <w:rFonts w:ascii="TH SarabunPSK" w:hAnsi="TH SarabunPSK" w:hint="default"/>
          <w:sz w:val="31"/>
          <w:szCs w:val="31"/>
          <w:u w:color="000000"/>
          <w:rtl w:val="0"/>
        </w:rPr>
        <w:t>–</w:t>
      </w:r>
      <w:r>
        <w:rPr>
          <w:rFonts w:ascii="TH SarabunPSK" w:hAnsi="TH SarabunPSK"/>
          <w:sz w:val="31"/>
          <w:szCs w:val="31"/>
          <w:u w:color="000000"/>
          <w:rtl w:val="0"/>
          <w:lang w:val="en-US"/>
        </w:rPr>
        <w:t>gel method</w:t>
      </w:r>
      <w:r>
        <w:rPr>
          <w:rFonts w:ascii="TH SarabunPSK" w:hAnsi="TH SarabunPSK"/>
          <w:sz w:val="31"/>
          <w:szCs w:val="31"/>
          <w:u w:color="000000"/>
          <w:rtl w:val="0"/>
          <w:lang w:val="en-US"/>
        </w:rPr>
        <w:t xml:space="preserve"> </w:t>
      </w:r>
      <w:r>
        <w:rPr>
          <w:rFonts w:ascii="TH SarabunPSK" w:hAnsi="TH SarabunPSK"/>
          <w:sz w:val="31"/>
          <w:szCs w:val="31"/>
          <w:u w:color="000000"/>
          <w:rtl w:val="0"/>
          <w:lang w:val="en-US"/>
        </w:rPr>
        <w:t>provided better particle size control and dispersion, resulting in higher surface area and improved</w:t>
      </w:r>
      <w:r>
        <w:rPr>
          <w:rFonts w:ascii="TH SarabunPSK" w:hAnsi="TH SarabunPSK"/>
          <w:sz w:val="31"/>
          <w:szCs w:val="31"/>
          <w:u w:color="000000"/>
          <w:rtl w:val="0"/>
          <w:lang w:val="en-US"/>
        </w:rPr>
        <w:t xml:space="preserve"> </w:t>
      </w:r>
      <w:r>
        <w:rPr>
          <w:rFonts w:ascii="TH SarabunPSK" w:hAnsi="TH SarabunPSK"/>
          <w:sz w:val="31"/>
          <w:szCs w:val="31"/>
          <w:u w:color="000000"/>
          <w:rtl w:val="0"/>
          <w:lang w:val="en-US"/>
        </w:rPr>
        <w:t>photocatalytic properties</w:t>
      </w:r>
    </w:p>
    <w:p>
      <w:pPr>
        <w:pStyle w:val="ค่าเริ่มต้น"/>
        <w:suppressAutoHyphens w:val="1"/>
        <w:spacing w:before="0" w:line="240" w:lineRule="auto"/>
        <w:jc w:val="both"/>
        <w:rPr>
          <w:rFonts w:ascii="TH SarabunPSK" w:cs="TH SarabunPSK" w:hAnsi="TH SarabunPSK" w:eastAsia="TH SarabunPSK"/>
          <w:sz w:val="31"/>
          <w:szCs w:val="31"/>
          <w:u w:color="000000"/>
        </w:rPr>
      </w:pPr>
    </w:p>
    <w:p>
      <w:pPr>
        <w:pStyle w:val="ค่าเริ่มต้น"/>
        <w:suppressAutoHyphens w:val="1"/>
        <w:spacing w:before="0" w:line="240" w:lineRule="auto"/>
        <w:jc w:val="both"/>
        <w:rPr>
          <w:rFonts w:ascii="TH Sarabun New" w:cs="TH Sarabun New" w:hAnsi="TH Sarabun New" w:eastAsia="TH Sarabun New"/>
          <w:sz w:val="28"/>
          <w:szCs w:val="28"/>
        </w:rPr>
      </w:pPr>
      <w:r>
        <w:rPr>
          <w:rFonts w:ascii="TH SarabunPSK" w:hAnsi="TH SarabunPSK"/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Keywords: </w:t>
      </w:r>
      <w:r>
        <w:rPr>
          <w:rFonts w:ascii="TH SarabunPSK" w:hAnsi="TH SarabunPSK"/>
          <w:sz w:val="28"/>
          <w:szCs w:val="28"/>
          <w:u w:color="000000"/>
          <w:rtl w:val="0"/>
          <w:lang w:val="en-US"/>
        </w:rPr>
        <w:t>ZnO NPs, green synthesis, sol</w:t>
      </w:r>
      <w:r>
        <w:rPr>
          <w:rFonts w:ascii="TH SarabunPSK" w:hAnsi="TH SarabunPSK" w:hint="default"/>
          <w:sz w:val="28"/>
          <w:szCs w:val="28"/>
          <w:u w:color="000000"/>
          <w:rtl w:val="0"/>
        </w:rPr>
        <w:t>–</w:t>
      </w:r>
      <w:r>
        <w:rPr>
          <w:rFonts w:ascii="TH SarabunPSK" w:hAnsi="TH SarabunPSK"/>
          <w:sz w:val="28"/>
          <w:szCs w:val="28"/>
          <w:u w:color="000000"/>
          <w:rtl w:val="0"/>
          <w:lang w:val="en-US"/>
        </w:rPr>
        <w:t>gel, coated fabric, photocatalysis</w:t>
      </w:r>
    </w:p>
    <w:p>
      <w:pPr>
        <w:pStyle w:val="เนื้อหา"/>
        <w:spacing w:after="0" w:line="240" w:lineRule="auto"/>
        <w:jc w:val="both"/>
      </w:pPr>
      <w:r>
        <w:rPr>
          <w:rFonts w:ascii="TH Sarabun New" w:cs="TH Sarabun New" w:hAnsi="TH Sarabun New" w:eastAsia="TH Sarabun New"/>
          <w:sz w:val="28"/>
          <w:szCs w:val="28"/>
        </w:rPr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TH SarabunPSK">
    <w:charset w:val="00"/>
    <w:family w:val="roman"/>
    <w:pitch w:val="default"/>
  </w:font>
  <w:font w:name="Thonburi">
    <w:charset w:val="00"/>
    <w:family w:val="roman"/>
    <w:pitch w:val="default"/>
  </w:font>
  <w:font w:name="Helvetica">
    <w:charset w:val="00"/>
    <w:family w:val="roman"/>
    <w:pitch w:val="default"/>
  </w:font>
  <w:font w:name="TH Sarabun Ne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000"/>
        <w:tab w:val="clear" w:pos="9026"/>
      </w:tabs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เนื้อหา"/>
      <w:spacing w:after="0" w:line="240" w:lineRule="auto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46" cy="1299577"/>
          <wp:effectExtent l="0" t="0" r="0" b="0"/>
          <wp:wrapNone/>
          <wp:docPr id="1073741825" name="officeArt object" descr="รูปภาพ 4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รูปภาพ 47" descr="รูปภาพ 4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 l="0" t="0" r="0" b="87836"/>
                  <a:stretch>
                    <a:fillRect/>
                  </a:stretch>
                </pic:blipFill>
                <pic:spPr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9945370</wp:posOffset>
          </wp:positionV>
          <wp:extent cx="7834343" cy="668740"/>
          <wp:effectExtent l="0" t="0" r="0" b="0"/>
          <wp:wrapNone/>
          <wp:docPr id="1073741826" name="officeArt object" descr="รูปภาพ 5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รูปภาพ 54" descr="รูปภาพ 54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4343" cy="6687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TH SarabunPSK" w:hAnsi="TH SarabunPSK"/>
        <w:b w:val="1"/>
        <w:bCs w:val="1"/>
        <w:sz w:val="28"/>
        <w:szCs w:val="28"/>
        <w:rtl w:val="0"/>
      </w:rPr>
      <w:t xml:space="preserve">                          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ไทย" w:val="‘“(〔[{〈《「『【⦅〘〖«〝︵︷︹︻︽︿﹁﹃﹇﹙﹛﹝｢"/>
  <w:noLineBreaksBefore w:lang="ไทย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เนื้อหา">
    <w:name w:val="เนื้อหา"/>
    <w:next w:val="เนื้อหา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13"/>
        <w:tab w:val="right" w:pos="9026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ค่าเริ่มต้น">
    <w:name w:val="ค่าเริ่มต้น"/>
    <w:next w:val="ค่าเริ่มต้น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Thonburi" w:cs="Arial Unicode MS" w:hAnsi="Thonbu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Thonburi"/>
        <a:ea typeface="Thonburi"/>
        <a:cs typeface="Thonburi"/>
      </a:majorFont>
      <a:minorFont>
        <a:latin typeface="Thonburi"/>
        <a:ea typeface="Thonburi"/>
        <a:cs typeface="Thonburi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