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media/image1.jpeg" ContentType="image/jpeg"/>
  <Override PartName="/word/media/image2.jpeg" ContentType="image/jpeg"/>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เนื้อหา"/>
        <w:spacing w:after="0" w:line="240" w:lineRule="auto"/>
        <w:jc w:val="center"/>
        <w:rPr>
          <w:rFonts w:ascii="TH SarabunPSK" w:cs="TH SarabunPSK" w:hAnsi="TH SarabunPSK" w:eastAsia="TH SarabunPSK"/>
          <w:b w:val="1"/>
          <w:bCs w:val="1"/>
          <w:sz w:val="28"/>
          <w:szCs w:val="28"/>
        </w:rPr>
      </w:pPr>
      <w:r>
        <w:rPr>
          <w:rFonts w:ascii="TH SarabunPSK" w:hAnsi="TH SarabunPSK"/>
          <w:b w:val="1"/>
          <w:bCs w:val="1"/>
          <w:sz w:val="32"/>
          <w:szCs w:val="32"/>
          <w:rtl w:val="0"/>
        </w:rPr>
        <w:t xml:space="preserve"> </w:t>
      </w:r>
      <w:r>
        <w:rPr>
          <w:rFonts w:ascii="TH SarabunPSK" w:hAnsi="TH SarabunPSK"/>
          <w:b w:val="1"/>
          <w:bCs w:val="1"/>
          <w:sz w:val="31"/>
          <w:szCs w:val="31"/>
          <w:rtl w:val="0"/>
          <w:lang w:val="en-US"/>
        </w:rPr>
        <w:t>Investigation and Comparative Study of Zinc Oxide Nanoparticles Synthesized via Green</w:t>
      </w:r>
      <w:r>
        <w:rPr>
          <w:rFonts w:ascii="TH SarabunPSK" w:hAnsi="TH SarabunPSK"/>
          <w:b w:val="1"/>
          <w:bCs w:val="1"/>
          <w:sz w:val="31"/>
          <w:szCs w:val="31"/>
          <w:rtl w:val="0"/>
          <w:lang w:val="en-US"/>
        </w:rPr>
        <w:t xml:space="preserve"> </w:t>
      </w:r>
      <w:r>
        <w:rPr>
          <w:rFonts w:ascii="TH SarabunPSK" w:hAnsi="TH SarabunPSK"/>
          <w:b w:val="1"/>
          <w:bCs w:val="1"/>
          <w:sz w:val="31"/>
          <w:szCs w:val="31"/>
          <w:rtl w:val="0"/>
          <w:lang w:val="en-US"/>
        </w:rPr>
        <w:t>Chemistry and Sol</w:t>
      </w:r>
      <w:r>
        <w:rPr>
          <w:rFonts w:ascii="TH SarabunPSK" w:hAnsi="TH SarabunPSK" w:hint="default"/>
          <w:b w:val="1"/>
          <w:bCs w:val="1"/>
          <w:sz w:val="31"/>
          <w:szCs w:val="31"/>
          <w:rtl w:val="0"/>
        </w:rPr>
        <w:t>–</w:t>
      </w:r>
      <w:r>
        <w:rPr>
          <w:rFonts w:ascii="TH SarabunPSK" w:hAnsi="TH SarabunPSK"/>
          <w:b w:val="1"/>
          <w:bCs w:val="1"/>
          <w:sz w:val="31"/>
          <w:szCs w:val="31"/>
          <w:rtl w:val="0"/>
          <w:lang w:val="en-US"/>
        </w:rPr>
        <w:t>Gel Methods for Textile Coating and Photocatalytic Degradation</w:t>
      </w:r>
      <w:r>
        <w:rPr>
          <w:rFonts w:ascii="TH SarabunPSK" w:hAnsi="TH SarabunPSK"/>
          <w:b w:val="1"/>
          <w:bCs w:val="1"/>
          <w:sz w:val="31"/>
          <w:szCs w:val="31"/>
          <w:rtl w:val="0"/>
          <w:lang w:val="en-US"/>
        </w:rPr>
        <w:t xml:space="preserve"> </w:t>
      </w:r>
      <w:r>
        <w:rPr>
          <w:rFonts w:ascii="TH SarabunPSK" w:hAnsi="TH SarabunPSK"/>
          <w:b w:val="1"/>
          <w:bCs w:val="1"/>
          <w:sz w:val="31"/>
          <w:szCs w:val="31"/>
          <w:rtl w:val="0"/>
          <w:lang w:val="en-US"/>
        </w:rPr>
        <w:t>of</w:t>
      </w:r>
      <w:r>
        <w:rPr>
          <w:rFonts w:ascii="TH SarabunPSK" w:hAnsi="TH SarabunPSK"/>
          <w:b w:val="1"/>
          <w:bCs w:val="1"/>
          <w:sz w:val="31"/>
          <w:szCs w:val="31"/>
          <w:rtl w:val="0"/>
          <w:lang w:val="en-US"/>
        </w:rPr>
        <w:t xml:space="preserve"> </w:t>
      </w:r>
      <w:r>
        <w:rPr>
          <w:rFonts w:ascii="TH SarabunPSK" w:hAnsi="TH SarabunPSK"/>
          <w:b w:val="1"/>
          <w:bCs w:val="1"/>
          <w:sz w:val="31"/>
          <w:szCs w:val="31"/>
          <w:rtl w:val="0"/>
          <w:lang w:val="da-DK"/>
        </w:rPr>
        <w:t>Methylene Blue</w:t>
      </w:r>
    </w:p>
    <w:p>
      <w:pPr>
        <w:pStyle w:val="No Spacing"/>
        <w:jc w:val="center"/>
        <w:rPr>
          <w:rFonts w:ascii="TH SarabunPSK" w:cs="TH SarabunPSK" w:hAnsi="TH SarabunPSK" w:eastAsia="TH SarabunPSK"/>
        </w:rPr>
      </w:pPr>
      <w:r>
        <w:rPr>
          <w:rFonts w:ascii="TH SarabunPSK" w:hAnsi="TH SarabunPSK"/>
          <w:outline w:val="0"/>
          <w:color w:val="0000ff"/>
          <w:u w:color="0000ff"/>
          <w:rtl w:val="0"/>
          <w:lang w:val="en-US"/>
          <w14:textFill>
            <w14:solidFill>
              <w14:srgbClr w14:val="0000FF"/>
            </w14:solidFill>
          </w14:textFill>
        </w:rPr>
        <w:t xml:space="preserve"> </w:t>
      </w:r>
    </w:p>
    <w:p>
      <w:pPr>
        <w:pStyle w:val="เนื้อหา"/>
        <w:spacing w:after="0" w:line="240" w:lineRule="auto"/>
        <w:jc w:val="center"/>
        <w:rPr>
          <w:rFonts w:ascii="TH SarabunPSK" w:cs="TH SarabunPSK" w:hAnsi="TH SarabunPSK" w:eastAsia="TH SarabunPSK"/>
          <w:sz w:val="28"/>
          <w:szCs w:val="28"/>
        </w:rPr>
      </w:pPr>
      <w:r>
        <w:rPr>
          <w:rFonts w:ascii="TH SarabunPSK" w:hAnsi="TH SarabunPSK"/>
          <w:b w:val="1"/>
          <w:bCs w:val="1"/>
          <w:sz w:val="32"/>
          <w:szCs w:val="32"/>
          <w:rtl w:val="0"/>
        </w:rPr>
        <w:t xml:space="preserve"> </w:t>
      </w:r>
      <w:r>
        <w:rPr>
          <w:rFonts w:ascii="TH Sarabun New" w:hAnsi="TH Sarabun New"/>
          <w:b w:val="1"/>
          <w:bCs w:val="1"/>
          <w:sz w:val="32"/>
          <w:szCs w:val="32"/>
          <w:rtl w:val="0"/>
        </w:rPr>
        <w:t xml:space="preserve">Chatrnichanan </w:t>
      </w:r>
      <w:r>
        <w:rPr>
          <w:rFonts w:ascii="TH Sarabun New" w:hAnsi="TH Sarabun New"/>
          <w:b w:val="1"/>
          <w:bCs w:val="1"/>
          <w:sz w:val="32"/>
          <w:szCs w:val="32"/>
          <w:rtl w:val="0"/>
          <w:lang w:val="en-US"/>
        </w:rPr>
        <w:t>Naidan</w:t>
      </w:r>
      <w:r>
        <w:rPr>
          <w:rFonts w:ascii="TH Sarabun New" w:hAnsi="TH Sarabun New"/>
          <w:b w:val="1"/>
          <w:bCs w:val="1"/>
          <w:sz w:val="32"/>
          <w:szCs w:val="32"/>
          <w:vertAlign w:val="superscript"/>
          <w:rtl w:val="0"/>
        </w:rPr>
        <w:t>1</w:t>
      </w:r>
      <w:r>
        <w:rPr>
          <w:rFonts w:ascii="TH Sarabun New" w:hAnsi="TH Sarabun New"/>
          <w:b w:val="1"/>
          <w:bCs w:val="1"/>
          <w:sz w:val="32"/>
          <w:szCs w:val="32"/>
          <w:rtl w:val="0"/>
        </w:rPr>
        <w:t>, Sirawan Kwangkhwang</w:t>
      </w:r>
      <w:r>
        <w:rPr>
          <w:rFonts w:ascii="TH Sarabun New" w:hAnsi="TH Sarabun New"/>
          <w:b w:val="1"/>
          <w:bCs w:val="1"/>
          <w:sz w:val="32"/>
          <w:szCs w:val="32"/>
          <w:vertAlign w:val="superscript"/>
          <w:rtl w:val="0"/>
        </w:rPr>
        <w:t>1</w:t>
      </w:r>
      <w:r>
        <w:rPr>
          <w:rFonts w:ascii="TH Sarabun New" w:hAnsi="TH Sarabun New"/>
          <w:b w:val="1"/>
          <w:bCs w:val="1"/>
          <w:sz w:val="32"/>
          <w:szCs w:val="32"/>
          <w:vertAlign w:val="superscript"/>
          <w:rtl w:val="0"/>
          <w:lang w:val="en-US"/>
        </w:rPr>
        <w:t xml:space="preserve"> </w:t>
      </w:r>
      <w:r>
        <w:rPr>
          <w:rFonts w:ascii="TH Sarabun New" w:hAnsi="TH Sarabun New"/>
          <w:b w:val="1"/>
          <w:bCs w:val="1"/>
          <w:sz w:val="32"/>
          <w:szCs w:val="32"/>
          <w:rtl w:val="0"/>
          <w:lang w:val="en-US"/>
        </w:rPr>
        <w:t>and Sutthida Netsawang</w:t>
      </w:r>
      <w:r>
        <w:rPr>
          <w:rFonts w:ascii="TH Sarabun New" w:hAnsi="TH Sarabun New"/>
          <w:b w:val="1"/>
          <w:bCs w:val="1"/>
          <w:sz w:val="32"/>
          <w:szCs w:val="32"/>
          <w:vertAlign w:val="superscript"/>
          <w:rtl w:val="0"/>
        </w:rPr>
        <w:t>1</w:t>
      </w:r>
      <w:r>
        <w:rPr>
          <w:rFonts w:ascii="TH Sarabun New" w:hAnsi="TH Sarabun New"/>
          <w:b w:val="1"/>
          <w:bCs w:val="1"/>
          <w:sz w:val="32"/>
          <w:szCs w:val="32"/>
          <w:vertAlign w:val="superscript"/>
          <w:rtl w:val="0"/>
          <w:lang w:val="en-US"/>
        </w:rPr>
        <w:t>*</w:t>
      </w:r>
    </w:p>
    <w:p>
      <w:pPr>
        <w:pStyle w:val="เนื้อหา"/>
        <w:spacing w:after="0" w:line="240" w:lineRule="auto"/>
        <w:jc w:val="center"/>
        <w:rPr>
          <w:rFonts w:ascii="TH SarabunPSK" w:cs="TH SarabunPSK" w:hAnsi="TH SarabunPSK" w:eastAsia="TH SarabunPSK"/>
          <w:sz w:val="28"/>
          <w:szCs w:val="28"/>
        </w:rPr>
      </w:pPr>
      <w:r>
        <w:rPr>
          <w:rFonts w:ascii="TH SarabunPSK" w:hAnsi="TH SarabunPSK"/>
          <w:b w:val="1"/>
          <w:bCs w:val="1"/>
          <w:sz w:val="32"/>
          <w:szCs w:val="32"/>
          <w:rtl w:val="0"/>
        </w:rPr>
        <w:t xml:space="preserve"> </w:t>
      </w:r>
      <w:r>
        <w:rPr>
          <w:rFonts w:ascii="TH Sarabun New" w:hAnsi="TH Sarabun New"/>
          <w:b w:val="1"/>
          <w:bCs w:val="1"/>
          <w:sz w:val="32"/>
          <w:szCs w:val="32"/>
          <w:rtl w:val="0"/>
          <w:lang w:val="en-US"/>
        </w:rPr>
        <w:t>Teerapat Khanjai</w:t>
      </w:r>
      <w:r>
        <w:rPr>
          <w:rFonts w:ascii="TH Sarabun New" w:hAnsi="TH Sarabun New"/>
          <w:b w:val="1"/>
          <w:bCs w:val="1"/>
          <w:sz w:val="32"/>
          <w:szCs w:val="32"/>
          <w:vertAlign w:val="superscript"/>
          <w:rtl w:val="0"/>
          <w:lang w:val="en-US"/>
        </w:rPr>
        <w:t>1</w:t>
      </w:r>
    </w:p>
    <w:p>
      <w:pPr>
        <w:pStyle w:val="เนื้อหา"/>
        <w:spacing w:after="0" w:line="240" w:lineRule="auto"/>
        <w:jc w:val="center"/>
        <w:rPr>
          <w:rFonts w:ascii="TH SarabunPSK" w:cs="TH SarabunPSK" w:hAnsi="TH SarabunPSK" w:eastAsia="TH SarabunPSK"/>
          <w:i w:val="1"/>
          <w:iCs w:val="1"/>
          <w:sz w:val="28"/>
          <w:szCs w:val="28"/>
        </w:rPr>
      </w:pPr>
      <w:r>
        <w:rPr>
          <w:rFonts w:ascii="TH SarabunPSK" w:hAnsi="TH SarabunPSK"/>
          <w:i w:val="1"/>
          <w:iCs w:val="1"/>
          <w:sz w:val="24"/>
          <w:szCs w:val="24"/>
          <w:vertAlign w:val="superscript"/>
          <w:rtl w:val="0"/>
        </w:rPr>
        <w:t>1</w:t>
      </w:r>
      <w:r>
        <w:rPr>
          <w:rFonts w:ascii="TH SarabunPSK" w:hAnsi="TH SarabunPSK"/>
          <w:i w:val="1"/>
          <w:iCs w:val="1"/>
          <w:sz w:val="24"/>
          <w:szCs w:val="24"/>
          <w:rtl w:val="0"/>
          <w:lang w:val="en-US"/>
        </w:rPr>
        <w:t xml:space="preserve">Princess </w:t>
      </w:r>
      <w:r>
        <w:rPr>
          <w:rFonts w:ascii="TH SarabunPSK" w:hAnsi="TH SarabunPSK"/>
          <w:i w:val="1"/>
          <w:iCs w:val="1"/>
          <w:sz w:val="24"/>
          <w:szCs w:val="24"/>
          <w:rtl w:val="0"/>
          <w:lang w:val="en-US"/>
        </w:rPr>
        <w:t>Chulabhorn Science High School Chiang Rai, 345 Moo 2 Rob Wiang Subdistrict, Muang District,Chiang Rai 57000, Thailand</w:t>
      </w:r>
    </w:p>
    <w:p>
      <w:pPr>
        <w:pStyle w:val="เนื้อหา"/>
        <w:spacing w:after="0" w:line="240" w:lineRule="auto"/>
        <w:jc w:val="center"/>
        <w:rPr>
          <w:rFonts w:ascii="TH Sarabun New" w:cs="TH Sarabun New" w:hAnsi="TH Sarabun New" w:eastAsia="TH Sarabun New"/>
          <w:i w:val="1"/>
          <w:iCs w:val="1"/>
          <w:sz w:val="24"/>
          <w:szCs w:val="24"/>
        </w:rPr>
      </w:pPr>
      <w:r>
        <w:rPr>
          <w:rFonts w:ascii="TH Sarabun New" w:hAnsi="TH Sarabun New"/>
          <w:i w:val="1"/>
          <w:iCs w:val="1"/>
          <w:sz w:val="24"/>
          <w:szCs w:val="24"/>
          <w:rtl w:val="0"/>
        </w:rPr>
        <w:t>*e-mail:</w:t>
      </w:r>
      <w:r>
        <w:rPr>
          <w:rFonts w:ascii="TH Sarabun New" w:hAnsi="TH Sarabun New"/>
          <w:i w:val="1"/>
          <w:iCs w:val="1"/>
          <w:sz w:val="24"/>
          <w:szCs w:val="24"/>
          <w:rtl w:val="0"/>
          <w:lang w:val="en-US"/>
        </w:rPr>
        <w:t xml:space="preserve"> 05855sutthida@pcccr.ac.th</w:t>
      </w:r>
    </w:p>
    <w:p>
      <w:pPr>
        <w:pStyle w:val="No Spacing"/>
        <w:jc w:val="center"/>
        <w:rPr>
          <w:rFonts w:ascii="TH SarabunPSK" w:cs="TH SarabunPSK" w:hAnsi="TH SarabunPSK" w:eastAsia="TH SarabunPSK"/>
        </w:rPr>
      </w:pPr>
    </w:p>
    <w:p>
      <w:pPr>
        <w:pStyle w:val="เนื้อหา"/>
        <w:spacing w:after="0" w:line="240" w:lineRule="auto"/>
        <w:jc w:val="center"/>
        <w:rPr>
          <w:rFonts w:ascii="TH SarabunPSK" w:cs="TH SarabunPSK" w:hAnsi="TH SarabunPSK" w:eastAsia="TH SarabunPSK"/>
          <w:b w:val="1"/>
          <w:bCs w:val="1"/>
          <w:sz w:val="32"/>
          <w:szCs w:val="32"/>
        </w:rPr>
      </w:pPr>
      <w:r>
        <w:rPr>
          <w:rFonts w:ascii="TH SarabunPSK" w:hAnsi="TH SarabunPSK"/>
          <w:b w:val="1"/>
          <w:bCs w:val="1"/>
          <w:sz w:val="32"/>
          <w:szCs w:val="32"/>
          <w:rtl w:val="0"/>
          <w:lang w:val="en-US"/>
        </w:rPr>
        <w:t>Abstract</w:t>
      </w:r>
    </w:p>
    <w:p>
      <w:pPr>
        <w:pStyle w:val="เนื้อหา"/>
        <w:spacing w:before="240" w:line="240" w:lineRule="auto"/>
        <w:ind w:firstLine="720"/>
        <w:jc w:val="both"/>
        <w:rPr>
          <w:rFonts w:ascii="TH SarabunPSK" w:cs="TH SarabunPSK" w:hAnsi="TH SarabunPSK" w:eastAsia="TH SarabunPSK"/>
          <w:sz w:val="28"/>
          <w:szCs w:val="28"/>
        </w:rPr>
      </w:pPr>
      <w:r>
        <w:rPr>
          <w:rFonts w:ascii="TH Sarabun New" w:hAnsi="TH Sarabun New"/>
          <w:sz w:val="28"/>
          <w:szCs w:val="28"/>
          <w:rtl w:val="0"/>
          <w:lang w:val="en-US"/>
        </w:rPr>
        <w:t>This project aims to study the green synthesis of zinc oxide nanoparticles and to evaluate their performance in cotton fabric coating and methylene blue degradation. Zinc oxide nanoparticles were synthesized using coriander leaf extract and the sol</w:t>
      </w:r>
      <w:r>
        <w:rPr>
          <w:rFonts w:ascii="TH Sarabun New" w:hAnsi="TH Sarabun New" w:hint="default"/>
          <w:sz w:val="28"/>
          <w:szCs w:val="28"/>
          <w:rtl w:val="0"/>
        </w:rPr>
        <w:t>–</w:t>
      </w:r>
      <w:r>
        <w:rPr>
          <w:rFonts w:ascii="TH Sarabun New" w:hAnsi="TH Sarabun New"/>
          <w:sz w:val="28"/>
          <w:szCs w:val="28"/>
          <w:rtl w:val="0"/>
          <w:lang w:val="en-US"/>
        </w:rPr>
        <w:t>gel method. The nanoparticles were applied to cotton fabric by dipcoating and spray-coating, and water contact angles were measured. The green-synthesized TEM image shows size of nanoparticles at about 100-150 nm, while sol</w:t>
      </w:r>
      <w:r>
        <w:rPr>
          <w:rFonts w:ascii="TH Sarabun New" w:hAnsi="TH Sarabun New" w:hint="default"/>
          <w:sz w:val="28"/>
          <w:szCs w:val="28"/>
          <w:rtl w:val="0"/>
        </w:rPr>
        <w:t>–</w:t>
      </w:r>
      <w:r>
        <w:rPr>
          <w:rFonts w:ascii="TH Sarabun New" w:hAnsi="TH Sarabun New"/>
          <w:sz w:val="28"/>
          <w:szCs w:val="28"/>
          <w:rtl w:val="0"/>
          <w:lang w:val="en-US"/>
        </w:rPr>
        <w:t>gel nanoparticles at 5</w:t>
      </w:r>
      <w:r>
        <w:rPr>
          <w:rFonts w:ascii="TH Sarabun New" w:hAnsi="TH Sarabun New" w:hint="default"/>
          <w:sz w:val="28"/>
          <w:szCs w:val="28"/>
          <w:rtl w:val="0"/>
        </w:rPr>
        <w:t>–</w:t>
      </w:r>
      <w:r>
        <w:rPr>
          <w:rFonts w:ascii="TH Sarabun New" w:hAnsi="TH Sarabun New"/>
          <w:sz w:val="28"/>
          <w:szCs w:val="28"/>
          <w:rtl w:val="0"/>
          <w:lang w:val="en-US"/>
        </w:rPr>
        <w:t>20 nm. Cotton coated with sol</w:t>
      </w:r>
      <w:r>
        <w:rPr>
          <w:rFonts w:ascii="TH Sarabun New" w:hAnsi="TH Sarabun New" w:hint="default"/>
          <w:sz w:val="28"/>
          <w:szCs w:val="28"/>
          <w:rtl w:val="0"/>
        </w:rPr>
        <w:t>–</w:t>
      </w:r>
      <w:r>
        <w:rPr>
          <w:rFonts w:ascii="TH Sarabun New" w:hAnsi="TH Sarabun New"/>
          <w:sz w:val="28"/>
          <w:szCs w:val="28"/>
          <w:rtl w:val="0"/>
          <w:lang w:val="en-US"/>
        </w:rPr>
        <w:t>gel nanoparticles showed a higher water contact angle at 79.23</w:t>
      </w:r>
      <w:r>
        <w:rPr>
          <w:rFonts w:ascii="TH Sarabun New" w:hAnsi="TH Sarabun New" w:hint="default"/>
          <w:sz w:val="28"/>
          <w:szCs w:val="28"/>
          <w:rtl w:val="0"/>
          <w:lang w:val="it-IT"/>
        </w:rPr>
        <w:t xml:space="preserve">° </w:t>
      </w:r>
      <w:r>
        <w:rPr>
          <w:rFonts w:ascii="TH Sarabun New" w:hAnsi="TH Sarabun New"/>
          <w:sz w:val="28"/>
          <w:szCs w:val="28"/>
          <w:rtl w:val="0"/>
          <w:lang w:val="en-US"/>
        </w:rPr>
        <w:t>compared to 74.00</w:t>
      </w:r>
      <w:r>
        <w:rPr>
          <w:rFonts w:ascii="TH Sarabun New" w:hAnsi="TH Sarabun New" w:hint="default"/>
          <w:sz w:val="28"/>
          <w:szCs w:val="28"/>
          <w:rtl w:val="0"/>
          <w:lang w:val="it-IT"/>
        </w:rPr>
        <w:t xml:space="preserve">° </w:t>
      </w:r>
      <w:r>
        <w:rPr>
          <w:rFonts w:ascii="TH Sarabun New" w:hAnsi="TH Sarabun New"/>
          <w:sz w:val="28"/>
          <w:szCs w:val="28"/>
          <w:rtl w:val="0"/>
          <w:lang w:val="en-US"/>
        </w:rPr>
        <w:t>from the green method, maintaining hydrophobicity after 15 washing cycles; spray-coating also performed better than dip-coating. In methylene blue degradation, sol</w:t>
      </w:r>
      <w:r>
        <w:rPr>
          <w:rFonts w:ascii="TH Sarabun New" w:hAnsi="TH Sarabun New" w:hint="default"/>
          <w:sz w:val="28"/>
          <w:szCs w:val="28"/>
          <w:rtl w:val="0"/>
        </w:rPr>
        <w:t>–</w:t>
      </w:r>
      <w:r>
        <w:rPr>
          <w:rFonts w:ascii="TH Sarabun New" w:hAnsi="TH Sarabun New"/>
          <w:sz w:val="28"/>
          <w:szCs w:val="28"/>
          <w:rtl w:val="0"/>
          <w:lang w:val="en-US"/>
        </w:rPr>
        <w:t>gel ZnO showed the highest efficiency at 56.5%, whereas the green method achieved 40.58%. These findings indicated that the sol</w:t>
      </w:r>
      <w:r>
        <w:rPr>
          <w:rFonts w:ascii="TH Sarabun New" w:hAnsi="TH Sarabun New" w:hint="default"/>
          <w:sz w:val="28"/>
          <w:szCs w:val="28"/>
          <w:rtl w:val="0"/>
        </w:rPr>
        <w:t>–</w:t>
      </w:r>
      <w:r>
        <w:rPr>
          <w:rFonts w:ascii="TH Sarabun New" w:hAnsi="TH Sarabun New"/>
          <w:sz w:val="28"/>
          <w:szCs w:val="28"/>
          <w:rtl w:val="0"/>
          <w:lang w:val="en-US"/>
        </w:rPr>
        <w:t>gel method provided better particle size control and dispersion, resulting in higher surface area and improved photocatalytic properties</w:t>
      </w:r>
    </w:p>
    <w:p>
      <w:pPr>
        <w:pStyle w:val="เนื้อหา"/>
        <w:spacing w:before="240" w:line="240" w:lineRule="auto"/>
        <w:rPr>
          <w:rFonts w:ascii="TH SarabunPSK" w:cs="TH SarabunPSK" w:hAnsi="TH SarabunPSK" w:eastAsia="TH SarabunPSK"/>
          <w:i w:val="1"/>
          <w:iCs w:val="1"/>
          <w:sz w:val="28"/>
          <w:szCs w:val="28"/>
        </w:rPr>
      </w:pPr>
      <w:r>
        <w:rPr>
          <w:rFonts w:ascii="TH Sarabun New" w:hAnsi="TH Sarabun New"/>
          <w:sz w:val="28"/>
          <w:szCs w:val="28"/>
          <w:rtl w:val="0"/>
          <w:lang w:val="fr-FR"/>
        </w:rPr>
        <w:t xml:space="preserve">keywords :  </w:t>
      </w:r>
      <w:r>
        <w:rPr>
          <w:rFonts w:ascii="TH Sarabun New" w:hAnsi="TH Sarabun New"/>
          <w:sz w:val="28"/>
          <w:szCs w:val="28"/>
          <w:rtl w:val="0"/>
          <w:lang w:val="en-US"/>
        </w:rPr>
        <w:t>ZnO NPs</w:t>
      </w:r>
      <w:r>
        <w:rPr>
          <w:rFonts w:ascii="TH Sarabun New" w:hAnsi="TH Sarabun New"/>
          <w:sz w:val="28"/>
          <w:szCs w:val="28"/>
          <w:rtl w:val="0"/>
        </w:rPr>
        <w:t xml:space="preserve">, </w:t>
      </w:r>
      <w:r>
        <w:rPr>
          <w:rFonts w:ascii="TH Sarabun New" w:hAnsi="TH Sarabun New"/>
          <w:sz w:val="28"/>
          <w:szCs w:val="28"/>
          <w:rtl w:val="0"/>
          <w:lang w:val="en-US"/>
        </w:rPr>
        <w:t xml:space="preserve">green </w:t>
      </w:r>
      <w:r>
        <w:rPr>
          <w:rFonts w:ascii="TH Sarabun New" w:hAnsi="TH Sarabun New"/>
          <w:sz w:val="28"/>
          <w:szCs w:val="28"/>
          <w:rtl w:val="0"/>
          <w:lang w:val="en-US"/>
        </w:rPr>
        <w:t>synthesis, sol</w:t>
      </w:r>
      <w:r>
        <w:rPr>
          <w:rFonts w:ascii="TH Sarabun New" w:hAnsi="TH Sarabun New" w:hint="default"/>
          <w:sz w:val="28"/>
          <w:szCs w:val="28"/>
          <w:rtl w:val="0"/>
        </w:rPr>
        <w:t>–</w:t>
      </w:r>
      <w:r>
        <w:rPr>
          <w:rFonts w:ascii="TH Sarabun New" w:hAnsi="TH Sarabun New"/>
          <w:sz w:val="28"/>
          <w:szCs w:val="28"/>
          <w:rtl w:val="0"/>
          <w:lang w:val="en-US"/>
        </w:rPr>
        <w:t>gel, coated fabric, photocatalysis</w:t>
      </w:r>
    </w:p>
    <w:p>
      <w:pPr>
        <w:pStyle w:val="เนื้อหา"/>
        <w:spacing w:before="240" w:after="0" w:line="240" w:lineRule="auto"/>
        <w:rPr>
          <w:rFonts w:ascii="TH SarabunPSK" w:cs="TH SarabunPSK" w:hAnsi="TH SarabunPSK" w:eastAsia="TH SarabunPSK"/>
          <w:i w:val="1"/>
          <w:iCs w:val="1"/>
          <w:sz w:val="28"/>
          <w:szCs w:val="28"/>
        </w:rPr>
        <w:sectPr>
          <w:headerReference w:type="default" r:id="rId4"/>
          <w:footerReference w:type="default" r:id="rId5"/>
          <w:pgSz w:w="11900" w:h="16840" w:orient="portrait"/>
          <w:pgMar w:top="1800" w:right="1440" w:bottom="1134" w:left="1800" w:header="720" w:footer="720"/>
          <w:bidi w:val="0"/>
        </w:sectPr>
      </w:pPr>
      <w:r>
        <w:rPr>
          <w:rFonts w:ascii="TH SarabunPSK" w:cs="TH SarabunPSK" w:hAnsi="TH SarabunPSK" w:eastAsia="TH SarabunPSK"/>
          <w:i w:val="1"/>
          <w:iCs w:val="1"/>
          <w:sz w:val="28"/>
          <w:szCs w:val="28"/>
        </w:rPr>
      </w:r>
    </w:p>
    <w:p>
      <w:pPr>
        <w:pStyle w:val="เนื้อหา"/>
        <w:spacing w:before="240" w:after="0" w:line="240" w:lineRule="auto"/>
        <w:rPr>
          <w:rFonts w:ascii="TH SarabunPSK" w:cs="TH SarabunPSK" w:hAnsi="TH SarabunPSK" w:eastAsia="TH SarabunPSK"/>
          <w:sz w:val="28"/>
          <w:szCs w:val="28"/>
        </w:rPr>
      </w:pPr>
      <w:r>
        <w:rPr>
          <w:rFonts w:ascii="TH SarabunPSK" w:hAnsi="TH SarabunPSK"/>
          <w:b w:val="1"/>
          <w:bCs w:val="1"/>
          <w:sz w:val="28"/>
          <w:szCs w:val="28"/>
          <w:rtl w:val="0"/>
          <w:lang w:val="fr-FR"/>
        </w:rPr>
        <w:t>Introduction</w:t>
      </w:r>
    </w:p>
    <w:p>
      <w:pPr>
        <w:pStyle w:val="เนื้อหา"/>
        <w:spacing w:after="0" w:line="240" w:lineRule="auto"/>
        <w:ind w:firstLine="720"/>
        <w:jc w:val="both"/>
        <w:rPr>
          <w:rFonts w:ascii="TH Sarabun New" w:cs="TH Sarabun New" w:hAnsi="TH Sarabun New" w:eastAsia="TH Sarabun New"/>
          <w:sz w:val="28"/>
          <w:szCs w:val="28"/>
        </w:rPr>
      </w:pPr>
      <w:r>
        <w:rPr>
          <w:rFonts w:ascii="TH Sarabun New" w:hAnsi="TH Sarabun New"/>
          <w:sz w:val="28"/>
          <w:szCs w:val="28"/>
          <w:rtl w:val="0"/>
          <w:lang w:val="en-US"/>
        </w:rPr>
        <w:t>Nanotechnology has revolutionized the textile industry by creating "nanotextiles" with enhanced physical, chemical, and biological properties (Kaewtrakulpong, 2020). By incorporating materials at the 1</w:t>
      </w:r>
      <w:r>
        <w:rPr>
          <w:rFonts w:ascii="TH Sarabun New" w:hAnsi="TH Sarabun New" w:hint="default"/>
          <w:sz w:val="28"/>
          <w:szCs w:val="28"/>
          <w:rtl w:val="0"/>
        </w:rPr>
        <w:t>–</w:t>
      </w:r>
      <w:r>
        <w:rPr>
          <w:rFonts w:ascii="TH Sarabun New" w:hAnsi="TH Sarabun New"/>
          <w:sz w:val="28"/>
          <w:szCs w:val="28"/>
          <w:rtl w:val="0"/>
          <w:lang w:val="en-US"/>
        </w:rPr>
        <w:t>100 nm scale, functional benefits are gained, significantly increasing the economic value of textile products (Thailand Textile Institute, 2022).</w:t>
      </w:r>
    </w:p>
    <w:p>
      <w:pPr>
        <w:pStyle w:val="ค่าเริ่มต้น"/>
        <w:suppressAutoHyphens w:val="1"/>
        <w:spacing w:before="0" w:line="240" w:lineRule="auto"/>
        <w:ind w:firstLine="960"/>
        <w:jc w:val="both"/>
        <w:rPr>
          <w:rFonts w:ascii="TH Sarabun New" w:cs="TH Sarabun New" w:hAnsi="TH Sarabun New" w:eastAsia="TH Sarabun New"/>
          <w:sz w:val="28"/>
          <w:szCs w:val="28"/>
        </w:rPr>
      </w:pPr>
      <w:r>
        <w:rPr>
          <w:rFonts w:ascii="TH Sarabun New" w:hAnsi="TH Sarabun New"/>
          <w:sz w:val="28"/>
          <w:szCs w:val="28"/>
          <w:rtl w:val="0"/>
          <w:lang w:val="en-US"/>
        </w:rPr>
        <w:t>Zinc Oxide Nanoparticles (ZnO NPs) are typically synthesized via physical or chemical methods, such as Chemical Vapor Deposition (CVD), which often involve toxic reagents. Consequently, Green Chemistry has emerged as a sustainable alternative, utilizing natural plant extracts as eco-friendly, safe, and cost-effective reducing and stabilizing agents (Pimolsri et al., 2021). The resulting ZnO NPs function as potent photocatalysts. Under light activation, they generate high-energy free radicals that degrade stable organic pollutants, such as Methylene Blue (MB), into non-toxic substances (Yawong &amp; Chiaranaisilalak, 2019). Additionally, the production of hydrogen peroxide (H</w:t>
      </w:r>
      <w:r>
        <w:rPr>
          <w:rFonts w:ascii="TH Sarabun New" w:hAnsi="TH Sarabun New"/>
          <w:sz w:val="28"/>
          <w:szCs w:val="28"/>
          <w:vertAlign w:val="subscript"/>
          <w:rtl w:val="0"/>
        </w:rPr>
        <w:t>2</w:t>
      </w:r>
      <w:r>
        <w:rPr>
          <w:rFonts w:ascii="TH Sarabun New" w:hAnsi="TH Sarabun New"/>
          <w:sz w:val="28"/>
          <w:szCs w:val="28"/>
          <w:rtl w:val="0"/>
        </w:rPr>
        <w:t>O</w:t>
      </w:r>
      <w:r>
        <w:rPr>
          <w:rFonts w:ascii="TH Sarabun New" w:hAnsi="TH Sarabun New"/>
          <w:sz w:val="28"/>
          <w:szCs w:val="28"/>
          <w:vertAlign w:val="subscript"/>
          <w:rtl w:val="0"/>
        </w:rPr>
        <w:t>2</w:t>
      </w:r>
      <w:r>
        <w:rPr>
          <w:rFonts w:ascii="TH Sarabun New" w:hAnsi="TH Sarabun New"/>
          <w:sz w:val="28"/>
          <w:szCs w:val="28"/>
          <w:rtl w:val="0"/>
          <w:lang w:val="en-US"/>
        </w:rPr>
        <w:t xml:space="preserve">) during this process disrupts bacterial cell walls, providing antimicrobial properties suitable for medical textiles and sportswear (Liuveha et al., 2020). Regarding the enhancement of functional properties in textiles, coating fabrics with ZnO NPs also improves water repellency and reduces the accumulation of dirt on the fabric surface. The adhesion efficiency of nanoparticles on fibers depends on their interaction with functional groups, such as </w:t>
      </w:r>
      <w:r>
        <w:rPr>
          <w:rFonts w:ascii="TH Sarabun New" w:hAnsi="TH Sarabun New"/>
          <w:sz w:val="28"/>
          <w:szCs w:val="28"/>
          <w:vertAlign w:val="superscript"/>
          <w:rtl w:val="0"/>
        </w:rPr>
        <w:t>-</w:t>
      </w:r>
      <w:r>
        <w:rPr>
          <w:rFonts w:ascii="TH Sarabun New" w:hAnsi="TH Sarabun New"/>
          <w:sz w:val="28"/>
          <w:szCs w:val="28"/>
          <w:rtl w:val="0"/>
          <w:lang w:val="de-DE"/>
        </w:rPr>
        <w:t xml:space="preserve">OH, </w:t>
      </w:r>
      <w:r>
        <w:rPr>
          <w:rFonts w:ascii="TH Sarabun New" w:hAnsi="TH Sarabun New"/>
          <w:sz w:val="28"/>
          <w:szCs w:val="28"/>
          <w:vertAlign w:val="superscript"/>
          <w:rtl w:val="0"/>
        </w:rPr>
        <w:t>-</w:t>
      </w:r>
      <w:r>
        <w:rPr>
          <w:rFonts w:ascii="TH Sarabun New" w:hAnsi="TH Sarabun New"/>
          <w:sz w:val="28"/>
          <w:szCs w:val="28"/>
          <w:rtl w:val="0"/>
          <w:lang w:val="en-US"/>
        </w:rPr>
        <w:t xml:space="preserve">COOH, or </w:t>
      </w:r>
      <w:r>
        <w:rPr>
          <w:rFonts w:ascii="TH Sarabun New" w:hAnsi="TH Sarabun New"/>
          <w:sz w:val="28"/>
          <w:szCs w:val="28"/>
          <w:vertAlign w:val="superscript"/>
          <w:rtl w:val="0"/>
        </w:rPr>
        <w:t>-</w:t>
      </w:r>
      <w:r>
        <w:rPr>
          <w:rFonts w:ascii="TH Sarabun New" w:hAnsi="TH Sarabun New"/>
          <w:sz w:val="28"/>
          <w:szCs w:val="28"/>
          <w:rtl w:val="0"/>
        </w:rPr>
        <w:t>NH</w:t>
      </w:r>
      <w:r>
        <w:rPr>
          <w:rFonts w:ascii="TH Sarabun New" w:hAnsi="TH Sarabun New"/>
          <w:sz w:val="28"/>
          <w:szCs w:val="28"/>
          <w:vertAlign w:val="subscript"/>
          <w:rtl w:val="0"/>
        </w:rPr>
        <w:t>2</w:t>
      </w:r>
      <w:r>
        <w:rPr>
          <w:rFonts w:ascii="TH Sarabun New" w:hAnsi="TH Sarabun New"/>
          <w:sz w:val="28"/>
          <w:szCs w:val="28"/>
          <w:rtl w:val="0"/>
          <w:lang w:val="en-US"/>
        </w:rPr>
        <w:t>, on the fiber surface, which can form chemical bonds (Khamsawat et al., 2020). Selecting appropriate techniques, such as Dip Coating for uniform distribution or Spray Coating for precise quantity control, is a crucial factor for the washing durability of the coating (Chansuwan, 2018).</w:t>
      </w:r>
    </w:p>
    <w:p>
      <w:pPr>
        <w:pStyle w:val="ค่าเริ่มต้น"/>
        <w:suppressAutoHyphens w:val="1"/>
        <w:spacing w:before="0" w:line="240" w:lineRule="auto"/>
        <w:jc w:val="both"/>
        <w:rPr>
          <w:rFonts w:ascii="TH SarabunPSK" w:cs="TH SarabunPSK" w:hAnsi="TH SarabunPSK" w:eastAsia="TH SarabunPSK"/>
          <w:sz w:val="28"/>
          <w:szCs w:val="28"/>
        </w:rPr>
      </w:pPr>
      <w:r>
        <w:rPr>
          <w:rFonts w:ascii="TH Sarabun New" w:cs="TH Sarabun New" w:hAnsi="TH Sarabun New" w:eastAsia="TH Sarabun New"/>
          <w:sz w:val="28"/>
          <w:szCs w:val="28"/>
          <w:rtl w:val="0"/>
        </w:rPr>
        <w:tab/>
        <w:t>This project aims to synthesize Zinc Oxide Nanoparticles using the green chemistry method to characterize and analyze the resulting particle sizes. It further investigates cotton coating methods using dip and spray techniques to compare the adhesion efficiency of ZnO NPs on cotton fabrics. Additionally, the study evaluates the methylene blue degradation efficiency of ZnO NPs synthesized through different methods, emphasizing the use of eco-friendly materials and processes to reduce the release of hazardous chemicals and minimize impacts on health and the environment.</w:t>
      </w:r>
    </w:p>
    <w:p>
      <w:pPr>
        <w:pStyle w:val="เนื้อหา"/>
        <w:spacing w:after="0" w:line="240" w:lineRule="auto"/>
        <w:jc w:val="both"/>
        <w:rPr>
          <w:rFonts w:ascii="TH SarabunPSK" w:cs="TH SarabunPSK" w:hAnsi="TH SarabunPSK" w:eastAsia="TH SarabunPSK"/>
          <w:sz w:val="28"/>
          <w:szCs w:val="28"/>
        </w:rPr>
      </w:pPr>
    </w:p>
    <w:p>
      <w:pPr>
        <w:pStyle w:val="เนื้อหา"/>
        <w:spacing w:after="0" w:line="240" w:lineRule="auto"/>
        <w:jc w:val="both"/>
        <w:rPr>
          <w:rFonts w:ascii="TH SarabunPSK" w:cs="TH SarabunPSK" w:hAnsi="TH SarabunPSK" w:eastAsia="TH SarabunPSK"/>
          <w:b w:val="1"/>
          <w:bCs w:val="1"/>
          <w:sz w:val="28"/>
          <w:szCs w:val="28"/>
        </w:rPr>
      </w:pPr>
      <w:r>
        <w:rPr>
          <w:rFonts w:ascii="TH SarabunPSK" w:hAnsi="TH SarabunPSK"/>
          <w:b w:val="1"/>
          <w:bCs w:val="1"/>
          <w:sz w:val="28"/>
          <w:szCs w:val="28"/>
          <w:rtl w:val="0"/>
        </w:rPr>
        <w:t>Methodology</w:t>
      </w:r>
    </w:p>
    <w:p>
      <w:pPr>
        <w:pStyle w:val="เนื้อหา"/>
        <w:numPr>
          <w:ilvl w:val="0"/>
          <w:numId w:val="2"/>
        </w:numPr>
        <w:spacing w:after="0" w:line="240" w:lineRule="auto"/>
        <w:jc w:val="both"/>
        <w:rPr>
          <w:rFonts w:ascii="TH Sarabun New" w:hAnsi="TH Sarabun New"/>
          <w:b w:val="1"/>
          <w:bCs w:val="1"/>
          <w:sz w:val="28"/>
          <w:szCs w:val="28"/>
          <w:lang w:val="en-US"/>
        </w:rPr>
      </w:pPr>
      <w:r>
        <w:rPr>
          <w:rFonts w:ascii="TH Sarabun New" w:hAnsi="TH Sarabun New"/>
          <w:b w:val="1"/>
          <w:bCs w:val="1"/>
          <w:sz w:val="28"/>
          <w:szCs w:val="28"/>
          <w:rtl w:val="0"/>
          <w:lang w:val="en-US"/>
        </w:rPr>
        <w:t>Preparation of Coriander Leaf Extract</w:t>
      </w:r>
    </w:p>
    <w:p>
      <w:pPr>
        <w:pStyle w:val="เนื้อหา"/>
        <w:spacing w:after="0" w:line="240" w:lineRule="auto"/>
        <w:jc w:val="both"/>
        <w:rPr>
          <w:rFonts w:ascii="TH Sarabun New" w:cs="TH Sarabun New" w:hAnsi="TH Sarabun New" w:eastAsia="TH Sarabun New"/>
          <w:sz w:val="28"/>
          <w:szCs w:val="28"/>
        </w:rPr>
      </w:pPr>
      <w:r>
        <w:rPr>
          <w:rFonts w:ascii="TH Sarabun New" w:cs="TH Sarabun New" w:hAnsi="TH Sarabun New" w:eastAsia="TH Sarabun New"/>
          <w:sz w:val="28"/>
          <w:szCs w:val="28"/>
        </w:rPr>
        <w:tab/>
      </w:r>
      <w:r>
        <w:rPr>
          <w:rFonts w:ascii="TH Sarabun New" w:hAnsi="TH Sarabun New"/>
          <w:sz w:val="28"/>
          <w:szCs w:val="28"/>
          <w:rtl w:val="0"/>
          <w:lang w:val="en-US"/>
        </w:rPr>
        <w:t>Fresh coriander leaves were chopped and boiled in distilled water</w:t>
      </w:r>
      <w:r>
        <w:rPr>
          <w:rFonts w:ascii="TH Sarabun New" w:hAnsi="TH Sarabun New"/>
          <w:sz w:val="28"/>
          <w:szCs w:val="28"/>
          <w:rtl w:val="0"/>
          <w:lang w:val="en-US"/>
        </w:rPr>
        <w:t xml:space="preserve"> </w:t>
      </w:r>
      <w:r>
        <w:rPr>
          <w:rFonts w:ascii="TH Sarabun New" w:hAnsi="TH Sarabun New"/>
          <w:sz w:val="28"/>
          <w:szCs w:val="28"/>
          <w:rtl w:val="0"/>
          <w:lang w:val="en-US"/>
        </w:rPr>
        <w:t>(50 g/200 mL) at 60</w:t>
      </w:r>
      <w:r>
        <w:rPr>
          <w:rFonts w:ascii="TH Sarabun New" w:hAnsi="TH Sarabun New" w:hint="default"/>
          <w:sz w:val="28"/>
          <w:szCs w:val="28"/>
          <w:rtl w:val="0"/>
          <w:lang w:val="it-IT"/>
        </w:rPr>
        <w:t>°</w:t>
      </w:r>
      <w:r>
        <w:rPr>
          <w:rFonts w:ascii="TH Sarabun New" w:hAnsi="TH Sarabun New"/>
          <w:sz w:val="28"/>
          <w:szCs w:val="28"/>
          <w:rtl w:val="0"/>
        </w:rPr>
        <w:t>C for 30</w:t>
      </w:r>
      <w:r>
        <w:rPr>
          <w:rFonts w:ascii="TH Sarabun New" w:hAnsi="TH Sarabun New" w:hint="default"/>
          <w:sz w:val="28"/>
          <w:szCs w:val="28"/>
          <w:rtl w:val="0"/>
        </w:rPr>
        <w:t>–</w:t>
      </w:r>
      <w:r>
        <w:rPr>
          <w:rFonts w:ascii="TH Sarabun New" w:hAnsi="TH Sarabun New"/>
          <w:sz w:val="28"/>
          <w:szCs w:val="28"/>
          <w:rtl w:val="0"/>
          <w:lang w:val="en-US"/>
        </w:rPr>
        <w:t>45 minutes. The solution was vacuum filtered through Whatman No. 1 paper and stored at 4</w:t>
      </w:r>
      <w:r>
        <w:rPr>
          <w:rFonts w:ascii="TH Sarabun New" w:hAnsi="TH Sarabun New" w:hint="default"/>
          <w:sz w:val="28"/>
          <w:szCs w:val="28"/>
          <w:rtl w:val="0"/>
          <w:lang w:val="it-IT"/>
        </w:rPr>
        <w:t>°</w:t>
      </w:r>
      <w:r>
        <w:rPr>
          <w:rFonts w:ascii="TH Sarabun New" w:hAnsi="TH Sarabun New"/>
          <w:sz w:val="28"/>
          <w:szCs w:val="28"/>
          <w:rtl w:val="0"/>
          <w:lang w:val="en-US"/>
        </w:rPr>
        <w:t>C. The extract was characterized using UV-Vis spectrophotometry (190</w:t>
      </w:r>
      <w:r>
        <w:rPr>
          <w:rFonts w:ascii="TH Sarabun New" w:hAnsi="TH Sarabun New" w:hint="default"/>
          <w:sz w:val="28"/>
          <w:szCs w:val="28"/>
          <w:rtl w:val="0"/>
        </w:rPr>
        <w:t>–</w:t>
      </w:r>
      <w:r>
        <w:rPr>
          <w:rFonts w:ascii="TH Sarabun New" w:hAnsi="TH Sarabun New"/>
          <w:sz w:val="28"/>
          <w:szCs w:val="28"/>
          <w:rtl w:val="0"/>
          <w:lang w:val="en-US"/>
        </w:rPr>
        <w:t>1,000 nm).</w:t>
      </w:r>
    </w:p>
    <w:p>
      <w:pPr>
        <w:pStyle w:val="เนื้อหา"/>
        <w:spacing w:after="0" w:line="240" w:lineRule="auto"/>
        <w:jc w:val="both"/>
        <w:rPr>
          <w:rFonts w:ascii="TH Sarabun New" w:cs="TH Sarabun New" w:hAnsi="TH Sarabun New" w:eastAsia="TH Sarabun New"/>
          <w:sz w:val="28"/>
          <w:szCs w:val="28"/>
        </w:rPr>
      </w:pPr>
    </w:p>
    <w:p>
      <w:pPr>
        <w:pStyle w:val="เนื้อหา"/>
        <w:spacing w:after="0" w:line="240" w:lineRule="auto"/>
        <w:jc w:val="both"/>
        <w:rPr>
          <w:rFonts w:ascii="TH Sarabun New" w:cs="TH Sarabun New" w:hAnsi="TH Sarabun New" w:eastAsia="TH Sarabun New"/>
          <w:b w:val="1"/>
          <w:bCs w:val="1"/>
          <w:sz w:val="28"/>
          <w:szCs w:val="28"/>
        </w:rPr>
      </w:pPr>
      <w:r>
        <w:rPr>
          <w:rFonts w:ascii="TH Sarabun New" w:hAnsi="TH Sarabun New"/>
          <w:b w:val="1"/>
          <w:bCs w:val="1"/>
          <w:sz w:val="28"/>
          <w:szCs w:val="28"/>
          <w:rtl w:val="0"/>
          <w:lang w:val="en-US"/>
        </w:rPr>
        <w:t>2) Green Synthesis of ZnO NPs</w:t>
      </w:r>
    </w:p>
    <w:p>
      <w:pPr>
        <w:pStyle w:val="เนื้อหา"/>
        <w:spacing w:after="0" w:line="240" w:lineRule="auto"/>
        <w:jc w:val="both"/>
        <w:rPr>
          <w:rFonts w:ascii="TH Sarabun New" w:cs="TH Sarabun New" w:hAnsi="TH Sarabun New" w:eastAsia="TH Sarabun New"/>
          <w:b w:val="0"/>
          <w:bCs w:val="0"/>
          <w:sz w:val="28"/>
          <w:szCs w:val="28"/>
        </w:rPr>
      </w:pPr>
      <w:r>
        <w:rPr>
          <w:rFonts w:ascii="TH Sarabun New" w:cs="TH Sarabun New" w:hAnsi="TH Sarabun New" w:eastAsia="TH Sarabun New"/>
          <w:b w:val="1"/>
          <w:bCs w:val="1"/>
          <w:sz w:val="28"/>
          <w:szCs w:val="28"/>
        </w:rPr>
        <w:tab/>
      </w:r>
      <w:r>
        <w:rPr>
          <w:rFonts w:ascii="TH Sarabun New" w:hAnsi="TH Sarabun New"/>
          <w:b w:val="0"/>
          <w:bCs w:val="0"/>
          <w:sz w:val="28"/>
          <w:szCs w:val="28"/>
          <w:rtl w:val="0"/>
          <w:lang w:val="en-US"/>
        </w:rPr>
        <w:t xml:space="preserve">20 mL </w:t>
      </w:r>
      <w:r>
        <w:rPr>
          <w:rFonts w:ascii="TH Sarabun New" w:hAnsi="TH Sarabun New"/>
          <w:b w:val="0"/>
          <w:bCs w:val="0"/>
          <w:sz w:val="28"/>
          <w:szCs w:val="28"/>
          <w:rtl w:val="0"/>
          <w:lang w:val="en-US"/>
        </w:rPr>
        <w:t>of extract was added dropwise to 0.1 M zinc acetate (100 mL). The pH was adjusted to 12 using 2 M NaOH. The mixture was stirred at 1,000 rpm for 2 hours. The resulting precipitate was centrifuged, washed with distilled water and 95% ethanol, dried at 100</w:t>
      </w:r>
      <w:r>
        <w:rPr>
          <w:rFonts w:ascii="TH Sarabun New" w:hAnsi="TH Sarabun New" w:hint="default"/>
          <w:b w:val="0"/>
          <w:bCs w:val="0"/>
          <w:sz w:val="28"/>
          <w:szCs w:val="28"/>
          <w:rtl w:val="0"/>
          <w:lang w:val="it-IT"/>
        </w:rPr>
        <w:t>°</w:t>
      </w:r>
      <w:r>
        <w:rPr>
          <w:rFonts w:ascii="TH Sarabun New" w:hAnsi="TH Sarabun New"/>
          <w:b w:val="0"/>
          <w:bCs w:val="0"/>
          <w:sz w:val="28"/>
          <w:szCs w:val="28"/>
          <w:rtl w:val="0"/>
          <w:lang w:val="en-US"/>
        </w:rPr>
        <w:t>C for 8 hours, and calcined at 550</w:t>
      </w:r>
      <w:r>
        <w:rPr>
          <w:rFonts w:ascii="TH Sarabun New" w:hAnsi="TH Sarabun New" w:hint="default"/>
          <w:b w:val="0"/>
          <w:bCs w:val="0"/>
          <w:sz w:val="28"/>
          <w:szCs w:val="28"/>
          <w:rtl w:val="0"/>
          <w:lang w:val="it-IT"/>
        </w:rPr>
        <w:t>°</w:t>
      </w:r>
      <w:r>
        <w:rPr>
          <w:rFonts w:ascii="TH Sarabun New" w:hAnsi="TH Sarabun New"/>
          <w:b w:val="0"/>
          <w:bCs w:val="0"/>
          <w:sz w:val="28"/>
          <w:szCs w:val="28"/>
          <w:rtl w:val="0"/>
          <w:lang w:val="en-US"/>
        </w:rPr>
        <w:t>C for 3 hours.</w:t>
      </w:r>
    </w:p>
    <w:p>
      <w:pPr>
        <w:pStyle w:val="เนื้อหา"/>
        <w:spacing w:after="0" w:line="240" w:lineRule="auto"/>
        <w:jc w:val="both"/>
        <w:rPr>
          <w:rFonts w:ascii="TH Sarabun New" w:cs="TH Sarabun New" w:hAnsi="TH Sarabun New" w:eastAsia="TH Sarabun New"/>
          <w:b w:val="1"/>
          <w:bCs w:val="1"/>
          <w:sz w:val="28"/>
          <w:szCs w:val="28"/>
        </w:rPr>
      </w:pPr>
      <w:r>
        <w:rPr>
          <w:rFonts w:ascii="TH Sarabun New" w:hAnsi="TH Sarabun New"/>
          <w:b w:val="1"/>
          <w:bCs w:val="1"/>
          <w:sz w:val="28"/>
          <w:szCs w:val="28"/>
          <w:rtl w:val="0"/>
          <w:lang w:val="en-US"/>
        </w:rPr>
        <w:t>3) Sol-Gel Synthesis of ZnO NPs</w:t>
      </w:r>
    </w:p>
    <w:p>
      <w:pPr>
        <w:pStyle w:val="เนื้อหา"/>
        <w:spacing w:after="0" w:line="240" w:lineRule="auto"/>
        <w:jc w:val="both"/>
        <w:rPr>
          <w:rFonts w:ascii="TH Sarabun New" w:cs="TH Sarabun New" w:hAnsi="TH Sarabun New" w:eastAsia="TH Sarabun New"/>
          <w:sz w:val="28"/>
          <w:szCs w:val="28"/>
        </w:rPr>
      </w:pPr>
      <w:r>
        <w:rPr>
          <w:rFonts w:ascii="TH Sarabun New" w:cs="TH Sarabun New" w:hAnsi="TH Sarabun New" w:eastAsia="TH Sarabun New"/>
          <w:sz w:val="28"/>
          <w:szCs w:val="28"/>
          <w:rtl w:val="0"/>
          <w:lang w:val="en-US"/>
        </w:rPr>
        <w:tab/>
        <w:t xml:space="preserve">Zinc </w:t>
      </w:r>
      <w:r>
        <w:rPr>
          <w:rFonts w:ascii="TH Sarabun New" w:hAnsi="TH Sarabun New"/>
          <w:sz w:val="28"/>
          <w:szCs w:val="28"/>
          <w:rtl w:val="0"/>
          <w:lang w:val="en-US"/>
        </w:rPr>
        <w:t>acetate and NaOH were dissolved separately in ethanol, chilled in an ice bath, and then mixed dropwise. Distilled water was added under continuous stirring. The mixture was centrifuged, and the precipitate was dried at 120</w:t>
      </w:r>
      <w:r>
        <w:rPr>
          <w:rFonts w:ascii="TH Sarabun New" w:hAnsi="TH Sarabun New" w:hint="default"/>
          <w:sz w:val="28"/>
          <w:szCs w:val="28"/>
          <w:rtl w:val="0"/>
          <w:lang w:val="it-IT"/>
        </w:rPr>
        <w:t>°</w:t>
      </w:r>
      <w:r>
        <w:rPr>
          <w:rFonts w:ascii="TH Sarabun New" w:hAnsi="TH Sarabun New"/>
          <w:sz w:val="28"/>
          <w:szCs w:val="28"/>
          <w:rtl w:val="0"/>
          <w:lang w:val="en-US"/>
        </w:rPr>
        <w:t>C for 3 hours. Both synthesis methods (Green and Sol</w:t>
      </w:r>
      <w:r>
        <w:rPr>
          <w:rFonts w:ascii="TH Sarabun New" w:hAnsi="TH Sarabun New" w:hint="default"/>
          <w:sz w:val="28"/>
          <w:szCs w:val="28"/>
          <w:rtl w:val="0"/>
        </w:rPr>
        <w:t>–</w:t>
      </w:r>
      <w:r>
        <w:rPr>
          <w:rFonts w:ascii="TH Sarabun New" w:hAnsi="TH Sarabun New"/>
          <w:sz w:val="28"/>
          <w:szCs w:val="28"/>
          <w:rtl w:val="0"/>
          <w:lang w:val="en-US"/>
        </w:rPr>
        <w:t>Gel) were characterized via TEM.</w:t>
      </w:r>
    </w:p>
    <w:p>
      <w:pPr>
        <w:pStyle w:val="เนื้อหา"/>
        <w:spacing w:after="0" w:line="240" w:lineRule="auto"/>
        <w:jc w:val="both"/>
        <w:rPr>
          <w:rFonts w:ascii="TH Sarabun New" w:cs="TH Sarabun New" w:hAnsi="TH Sarabun New" w:eastAsia="TH Sarabun New"/>
          <w:b w:val="1"/>
          <w:bCs w:val="1"/>
          <w:sz w:val="28"/>
          <w:szCs w:val="28"/>
        </w:rPr>
      </w:pPr>
      <w:r>
        <w:rPr>
          <w:rFonts w:ascii="TH Sarabun New" w:hAnsi="TH Sarabun New"/>
          <w:b w:val="1"/>
          <w:bCs w:val="1"/>
          <w:sz w:val="28"/>
          <w:szCs w:val="28"/>
          <w:rtl w:val="0"/>
          <w:lang w:val="en-US"/>
        </w:rPr>
        <w:t xml:space="preserve">4) </w:t>
      </w:r>
      <w:r>
        <w:rPr>
          <w:rFonts w:ascii="TH Sarabun New" w:hAnsi="TH Sarabun New"/>
          <w:b w:val="1"/>
          <w:bCs w:val="1"/>
          <w:sz w:val="28"/>
          <w:szCs w:val="28"/>
          <w:rtl w:val="0"/>
          <w:lang w:val="en-US"/>
        </w:rPr>
        <w:t xml:space="preserve">Preparation of Coating Solution </w:t>
      </w:r>
    </w:p>
    <w:p>
      <w:pPr>
        <w:pStyle w:val="เนื้อหา"/>
        <w:spacing w:after="0" w:line="240" w:lineRule="auto"/>
        <w:jc w:val="both"/>
        <w:rPr>
          <w:rFonts w:ascii="TH Sarabun New" w:cs="TH Sarabun New" w:hAnsi="TH Sarabun New" w:eastAsia="TH Sarabun New"/>
          <w:sz w:val="28"/>
          <w:szCs w:val="28"/>
        </w:rPr>
      </w:pPr>
      <w:r>
        <w:rPr>
          <w:rFonts w:ascii="TH Sarabun New" w:cs="TH Sarabun New" w:hAnsi="TH Sarabun New" w:eastAsia="TH Sarabun New"/>
          <w:sz w:val="28"/>
          <w:szCs w:val="28"/>
        </w:rPr>
        <w:tab/>
      </w:r>
      <w:r>
        <w:rPr>
          <w:rFonts w:ascii="TH Sarabun New" w:hAnsi="TH Sarabun New"/>
          <w:sz w:val="28"/>
          <w:szCs w:val="28"/>
          <w:rtl w:val="0"/>
          <w:lang w:val="en-US"/>
        </w:rPr>
        <w:t>Coating Solution: 0.5 g of ZnO NPs was dispersed in PVA solution (20%) at 80</w:t>
      </w:r>
      <w:r>
        <w:rPr>
          <w:rFonts w:ascii="TH Sarabun New" w:hAnsi="TH Sarabun New" w:hint="default"/>
          <w:sz w:val="28"/>
          <w:szCs w:val="28"/>
          <w:rtl w:val="0"/>
        </w:rPr>
        <w:t>–</w:t>
      </w:r>
      <w:r>
        <w:rPr>
          <w:rFonts w:ascii="TH Sarabun New" w:hAnsi="TH Sarabun New"/>
          <w:sz w:val="28"/>
          <w:szCs w:val="28"/>
          <w:rtl w:val="0"/>
        </w:rPr>
        <w:t>90</w:t>
      </w:r>
      <w:r>
        <w:rPr>
          <w:rFonts w:ascii="TH Sarabun New" w:hAnsi="TH Sarabun New" w:hint="default"/>
          <w:sz w:val="28"/>
          <w:szCs w:val="28"/>
          <w:rtl w:val="0"/>
          <w:lang w:val="it-IT"/>
        </w:rPr>
        <w:t>°</w:t>
      </w:r>
      <w:r>
        <w:rPr>
          <w:rFonts w:ascii="TH Sarabun New" w:hAnsi="TH Sarabun New"/>
          <w:sz w:val="28"/>
          <w:szCs w:val="28"/>
          <w:rtl w:val="0"/>
          <w:lang w:val="en-US"/>
        </w:rPr>
        <w:t>C for 1 hour.</w:t>
      </w:r>
    </w:p>
    <w:p>
      <w:pPr>
        <w:pStyle w:val="ค่าเริ่มต้น"/>
        <w:suppressAutoHyphens w:val="1"/>
        <w:spacing w:before="0" w:line="240" w:lineRule="auto"/>
        <w:ind w:left="480" w:hanging="480"/>
        <w:jc w:val="both"/>
        <w:rPr>
          <w:rFonts w:ascii="TH Sarabun New" w:cs="TH Sarabun New" w:hAnsi="TH Sarabun New" w:eastAsia="TH Sarabun New"/>
          <w:b w:val="1"/>
          <w:bCs w:val="1"/>
          <w:sz w:val="28"/>
          <w:szCs w:val="28"/>
        </w:rPr>
      </w:pPr>
      <w:r>
        <w:rPr>
          <w:rFonts w:ascii="TH Sarabun New" w:hAnsi="TH Sarabun New"/>
          <w:b w:val="1"/>
          <w:bCs w:val="1"/>
          <w:sz w:val="28"/>
          <w:szCs w:val="28"/>
          <w:rtl w:val="0"/>
          <w:lang w:val="en-US"/>
        </w:rPr>
        <w:t>5)</w:t>
      </w:r>
      <w:r>
        <w:rPr>
          <w:rFonts w:ascii="TH Sarabun New" w:hAnsi="TH Sarabun New"/>
          <w:sz w:val="28"/>
          <w:szCs w:val="28"/>
          <w:rtl w:val="0"/>
          <w:lang w:val="en-US"/>
        </w:rPr>
        <w:t xml:space="preserve"> </w:t>
      </w:r>
      <w:r>
        <w:rPr>
          <w:rFonts w:ascii="TH Sarabun New" w:hAnsi="TH Sarabun New"/>
          <w:b w:val="1"/>
          <w:bCs w:val="1"/>
          <w:sz w:val="28"/>
          <w:szCs w:val="28"/>
          <w:rtl w:val="0"/>
          <w:lang w:val="en-US"/>
        </w:rPr>
        <w:t xml:space="preserve">Preparation of </w:t>
      </w:r>
      <w:r>
        <w:rPr>
          <w:rFonts w:ascii="TH Sarabun New" w:hAnsi="TH Sarabun New"/>
          <w:b w:val="1"/>
          <w:bCs w:val="1"/>
          <w:sz w:val="28"/>
          <w:szCs w:val="28"/>
          <w:rtl w:val="0"/>
          <w:lang w:val="en-US"/>
        </w:rPr>
        <w:t>Fabric</w:t>
      </w:r>
      <w:r>
        <w:rPr>
          <w:rFonts w:ascii="TH Sarabun New" w:hAnsi="TH Sarabun New"/>
          <w:sz w:val="28"/>
          <w:szCs w:val="28"/>
          <w:rtl w:val="0"/>
          <w:lang w:val="en-US"/>
        </w:rPr>
        <w:t xml:space="preserve"> </w:t>
      </w:r>
      <w:r>
        <w:rPr>
          <w:rFonts w:ascii="TH Sarabun New" w:hAnsi="TH Sarabun New"/>
          <w:b w:val="1"/>
          <w:bCs w:val="1"/>
          <w:sz w:val="28"/>
          <w:szCs w:val="28"/>
          <w:rtl w:val="0"/>
          <w:lang w:val="en-US"/>
        </w:rPr>
        <w:t>Pre-treatment</w:t>
      </w:r>
    </w:p>
    <w:p>
      <w:pPr>
        <w:pStyle w:val="ค่าเริ่มต้น"/>
        <w:suppressAutoHyphens w:val="1"/>
        <w:spacing w:before="0" w:line="240" w:lineRule="auto"/>
        <w:jc w:val="both"/>
        <w:rPr>
          <w:rFonts w:ascii="TH Sarabun New" w:cs="TH Sarabun New" w:hAnsi="TH Sarabun New" w:eastAsia="TH Sarabun New"/>
          <w:sz w:val="28"/>
          <w:szCs w:val="28"/>
        </w:rPr>
      </w:pPr>
      <w:r>
        <w:rPr>
          <w:rFonts w:ascii="TH Sarabun New" w:cs="TH Sarabun New" w:hAnsi="TH Sarabun New" w:eastAsia="TH Sarabun New"/>
          <w:b w:val="1"/>
          <w:bCs w:val="1"/>
          <w:sz w:val="28"/>
          <w:szCs w:val="28"/>
        </w:rPr>
        <w:tab/>
      </w:r>
      <w:r>
        <w:rPr>
          <w:rFonts w:ascii="TH Sarabun New" w:hAnsi="TH Sarabun New"/>
          <w:sz w:val="28"/>
          <w:szCs w:val="28"/>
          <w:rtl w:val="0"/>
          <w:lang w:val="en-US"/>
        </w:rPr>
        <w:t xml:space="preserve">Cotton fabrics (4 </w:t>
      </w:r>
      <w:r>
        <w:rPr>
          <w:rFonts w:ascii="TH Sarabun New" w:hAnsi="TH Sarabun New" w:hint="default"/>
          <w:sz w:val="28"/>
          <w:szCs w:val="28"/>
          <w:rtl w:val="0"/>
        </w:rPr>
        <w:t xml:space="preserve">× </w:t>
      </w:r>
      <w:r>
        <w:rPr>
          <w:rFonts w:ascii="TH Sarabun New" w:hAnsi="TH Sarabun New"/>
          <w:sz w:val="28"/>
          <w:szCs w:val="28"/>
          <w:rtl w:val="0"/>
          <w:lang w:val="en-US"/>
        </w:rPr>
        <w:t>5 cm) were scoured</w:t>
      </w:r>
      <w:r>
        <w:rPr>
          <w:rFonts w:ascii="TH Sarabun New" w:hAnsi="TH Sarabun New"/>
          <w:sz w:val="28"/>
          <w:szCs w:val="28"/>
          <w:rtl w:val="0"/>
          <w:lang w:val="en-US"/>
        </w:rPr>
        <w:t xml:space="preserve"> </w:t>
      </w:r>
      <w:r>
        <w:rPr>
          <w:rFonts w:ascii="TH Sarabun New" w:hAnsi="TH Sarabun New"/>
          <w:sz w:val="28"/>
          <w:szCs w:val="28"/>
          <w:rtl w:val="0"/>
          <w:lang w:val="en-US"/>
        </w:rPr>
        <w:t>in a boiling alkaline detergent solution, rinsed to neutral pH, and dried.</w:t>
      </w:r>
    </w:p>
    <w:p>
      <w:pPr>
        <w:pStyle w:val="ค่าเริ่มต้น"/>
        <w:suppressAutoHyphens w:val="1"/>
        <w:spacing w:before="0" w:line="240" w:lineRule="auto"/>
        <w:jc w:val="left"/>
        <w:rPr>
          <w:rFonts w:ascii="TH Sarabun New" w:cs="TH Sarabun New" w:hAnsi="TH Sarabun New" w:eastAsia="TH Sarabun New"/>
          <w:b w:val="1"/>
          <w:bCs w:val="1"/>
          <w:sz w:val="28"/>
          <w:szCs w:val="28"/>
        </w:rPr>
      </w:pPr>
      <w:r>
        <w:rPr>
          <w:rFonts w:ascii="TH Sarabun New" w:hAnsi="TH Sarabun New"/>
          <w:b w:val="1"/>
          <w:bCs w:val="1"/>
          <w:sz w:val="28"/>
          <w:szCs w:val="28"/>
          <w:rtl w:val="0"/>
          <w:lang w:val="en-US"/>
        </w:rPr>
        <w:t xml:space="preserve">6) </w:t>
      </w:r>
      <w:r>
        <w:rPr>
          <w:rFonts w:ascii="TH Sarabun New" w:hAnsi="TH Sarabun New"/>
          <w:b w:val="1"/>
          <w:bCs w:val="1"/>
          <w:sz w:val="28"/>
          <w:szCs w:val="28"/>
          <w:rtl w:val="0"/>
          <w:lang w:val="en-US"/>
        </w:rPr>
        <w:t>Fabric Coating and Testing</w:t>
      </w:r>
    </w:p>
    <w:p>
      <w:pPr>
        <w:pStyle w:val="ค่าเริ่มต้น"/>
        <w:suppressAutoHyphens w:val="1"/>
        <w:spacing w:before="0" w:line="240" w:lineRule="auto"/>
        <w:jc w:val="both"/>
        <w:rPr>
          <w:rFonts w:ascii="TH Sarabun New" w:cs="TH Sarabun New" w:hAnsi="TH Sarabun New" w:eastAsia="TH Sarabun New"/>
          <w:sz w:val="28"/>
          <w:szCs w:val="28"/>
        </w:rPr>
      </w:pPr>
      <w:r>
        <w:rPr>
          <w:rFonts w:ascii="TH Sarabun New" w:cs="TH Sarabun New" w:hAnsi="TH Sarabun New" w:eastAsia="TH Sarabun New"/>
          <w:sz w:val="28"/>
          <w:szCs w:val="28"/>
          <w:rtl w:val="0"/>
        </w:rPr>
        <w:tab/>
        <w:t>For the dip-coating process, f</w:t>
      </w:r>
      <w:r>
        <w:rPr>
          <w:rFonts w:ascii="TH Sarabun New" w:hAnsi="TH Sarabun New"/>
          <w:sz w:val="28"/>
          <w:szCs w:val="28"/>
          <w:rtl w:val="0"/>
          <w:lang w:val="en-US"/>
        </w:rPr>
        <w:t>abrics were</w:t>
      </w:r>
      <w:r>
        <w:rPr>
          <w:rFonts w:ascii="TH Sarabun New" w:hAnsi="TH Sarabun New"/>
          <w:sz w:val="28"/>
          <w:szCs w:val="28"/>
          <w:rtl w:val="0"/>
          <w:lang w:val="en-US"/>
        </w:rPr>
        <w:t xml:space="preserve"> </w:t>
      </w:r>
      <w:r>
        <w:rPr>
          <w:rFonts w:ascii="TH Sarabun New" w:hAnsi="TH Sarabun New"/>
          <w:sz w:val="28"/>
          <w:szCs w:val="28"/>
          <w:rtl w:val="0"/>
          <w:lang w:val="en-US"/>
        </w:rPr>
        <w:t>immersed for 30 minutes, padded, dried at 70</w:t>
      </w:r>
      <w:r>
        <w:rPr>
          <w:rFonts w:ascii="TH Sarabun New" w:hAnsi="TH Sarabun New" w:hint="default"/>
          <w:sz w:val="28"/>
          <w:szCs w:val="28"/>
          <w:rtl w:val="0"/>
          <w:lang w:val="it-IT"/>
        </w:rPr>
        <w:t>°</w:t>
      </w:r>
      <w:r>
        <w:rPr>
          <w:rFonts w:ascii="TH Sarabun New" w:hAnsi="TH Sarabun New"/>
          <w:sz w:val="28"/>
          <w:szCs w:val="28"/>
          <w:rtl w:val="0"/>
          <w:lang w:val="en-US"/>
        </w:rPr>
        <w:t xml:space="preserve">C, and </w:t>
      </w:r>
      <w:r>
        <w:rPr>
          <w:rFonts w:ascii="TH Sarabun New" w:hAnsi="TH Sarabun New"/>
          <w:sz w:val="28"/>
          <w:szCs w:val="28"/>
          <w:rtl w:val="0"/>
          <w:lang w:val="en-US"/>
        </w:rPr>
        <w:t xml:space="preserve">then </w:t>
      </w:r>
      <w:r>
        <w:rPr>
          <w:rFonts w:ascii="TH Sarabun New" w:hAnsi="TH Sarabun New"/>
          <w:sz w:val="28"/>
          <w:szCs w:val="28"/>
          <w:rtl w:val="0"/>
          <w:lang w:val="en-US"/>
        </w:rPr>
        <w:t>cured at 150</w:t>
      </w:r>
      <w:r>
        <w:rPr>
          <w:rFonts w:ascii="TH Sarabun New" w:hAnsi="TH Sarabun New" w:hint="default"/>
          <w:sz w:val="28"/>
          <w:szCs w:val="28"/>
          <w:rtl w:val="0"/>
          <w:lang w:val="it-IT"/>
        </w:rPr>
        <w:t>°</w:t>
      </w:r>
      <w:r>
        <w:rPr>
          <w:rFonts w:ascii="TH Sarabun New" w:hAnsi="TH Sarabun New"/>
          <w:sz w:val="28"/>
          <w:szCs w:val="28"/>
          <w:rtl w:val="0"/>
        </w:rPr>
        <w:t>C for 10 minutes.</w:t>
      </w:r>
      <w:r>
        <w:rPr>
          <w:rFonts w:ascii="TH Sarabun New" w:hAnsi="TH Sarabun New"/>
          <w:sz w:val="28"/>
          <w:szCs w:val="28"/>
          <w:rtl w:val="0"/>
          <w:lang w:val="en-US"/>
        </w:rPr>
        <w:t xml:space="preserve"> For spray coating, the fabric were sprayed at a 90</w:t>
      </w:r>
      <w:r>
        <w:rPr>
          <w:rFonts w:ascii="TH Sarabun New" w:hAnsi="TH Sarabun New" w:hint="default"/>
          <w:sz w:val="28"/>
          <w:szCs w:val="28"/>
          <w:rtl w:val="0"/>
          <w:lang w:val="it-IT"/>
        </w:rPr>
        <w:t>°</w:t>
      </w:r>
      <w:r>
        <w:rPr>
          <w:rFonts w:ascii="TH Sarabun New" w:hAnsi="TH Sarabun New"/>
          <w:sz w:val="28"/>
          <w:szCs w:val="28"/>
          <w:rtl w:val="0"/>
          <w:lang w:val="en-US"/>
        </w:rPr>
        <w:t xml:space="preserve">, followed by drying and curing </w:t>
      </w:r>
      <w:r>
        <w:rPr>
          <w:rFonts w:ascii="TH Sarabun New" w:hAnsi="TH Sarabun New"/>
          <w:sz w:val="28"/>
          <w:szCs w:val="28"/>
          <w:rtl w:val="0"/>
          <w:lang w:val="en-US"/>
        </w:rPr>
        <w:t>under identical conditions. Finally, the hydrophobicity of the treated fabrics was evaluated via water contact angle measurements.</w:t>
      </w:r>
    </w:p>
    <w:p>
      <w:pPr>
        <w:pStyle w:val="ค่าเริ่มต้น"/>
        <w:suppressAutoHyphens w:val="1"/>
        <w:spacing w:before="0" w:line="240" w:lineRule="auto"/>
        <w:jc w:val="both"/>
        <w:rPr>
          <w:rFonts w:ascii="TH Sarabun New" w:cs="TH Sarabun New" w:hAnsi="TH Sarabun New" w:eastAsia="TH Sarabun New"/>
          <w:b w:val="1"/>
          <w:bCs w:val="1"/>
          <w:sz w:val="28"/>
          <w:szCs w:val="28"/>
        </w:rPr>
      </w:pPr>
      <w:r>
        <w:rPr>
          <w:rFonts w:ascii="TH Sarabun New" w:hAnsi="TH Sarabun New"/>
          <w:b w:val="1"/>
          <w:bCs w:val="1"/>
          <w:sz w:val="28"/>
          <w:szCs w:val="28"/>
          <w:rtl w:val="0"/>
          <w:lang w:val="en-US"/>
        </w:rPr>
        <w:t xml:space="preserve">7) </w:t>
      </w:r>
      <w:r>
        <w:rPr>
          <w:rFonts w:ascii="TH Sarabun New" w:hAnsi="TH Sarabun New"/>
          <w:b w:val="1"/>
          <w:bCs w:val="1"/>
          <w:sz w:val="28"/>
          <w:szCs w:val="28"/>
          <w:rtl w:val="0"/>
          <w:lang w:val="en-US"/>
        </w:rPr>
        <w:t>Photocatalytic Degradation of Methylene Blue (MB)</w:t>
      </w:r>
    </w:p>
    <w:p>
      <w:pPr>
        <w:pStyle w:val="ค่าเริ่มต้น"/>
        <w:suppressAutoHyphens w:val="1"/>
        <w:spacing w:before="0" w:line="240" w:lineRule="auto"/>
        <w:jc w:val="both"/>
        <w:rPr>
          <w:rFonts w:ascii="TH Sarabun New" w:cs="TH Sarabun New" w:hAnsi="TH Sarabun New" w:eastAsia="TH Sarabun New"/>
          <w:b w:val="0"/>
          <w:bCs w:val="0"/>
          <w:sz w:val="28"/>
          <w:szCs w:val="28"/>
        </w:rPr>
      </w:pPr>
      <w:r>
        <w:rPr>
          <w:rFonts w:ascii="TH Sarabun New" w:cs="TH Sarabun New" w:hAnsi="TH Sarabun New" w:eastAsia="TH Sarabun New"/>
          <w:b w:val="1"/>
          <w:bCs w:val="1"/>
          <w:sz w:val="28"/>
          <w:szCs w:val="28"/>
        </w:rPr>
        <w:tab/>
      </w:r>
      <w:r>
        <w:rPr>
          <w:rFonts w:ascii="TH Sarabun New" w:hAnsi="TH Sarabun New"/>
          <w:b w:val="0"/>
          <w:bCs w:val="0"/>
          <w:sz w:val="28"/>
          <w:szCs w:val="28"/>
          <w:rtl w:val="0"/>
          <w:lang w:val="en-US"/>
        </w:rPr>
        <w:t xml:space="preserve">0.06 g of ZnO NPs was added to 100 mL of 10 </w:t>
      </w:r>
      <w:r>
        <w:rPr>
          <w:rFonts w:ascii="TH Sarabun New" w:hAnsi="TH Sarabun New" w:hint="default"/>
          <w:b w:val="0"/>
          <w:bCs w:val="0"/>
          <w:sz w:val="28"/>
          <w:szCs w:val="28"/>
          <w:rtl w:val="0"/>
        </w:rPr>
        <w:t>µ</w:t>
      </w:r>
      <w:r>
        <w:rPr>
          <w:rFonts w:ascii="TH Sarabun New" w:hAnsi="TH Sarabun New"/>
          <w:b w:val="0"/>
          <w:bCs w:val="0"/>
          <w:sz w:val="28"/>
          <w:szCs w:val="28"/>
          <w:rtl w:val="0"/>
          <w:lang w:val="en-US"/>
        </w:rPr>
        <w:t>M MB. The mixture reached adsorption equilibrium in darkness for 30 minutes before being irradiated under UV light for 30 minutes. The solution was centrifuged, and its absorbance was measured at 664 nm to calculate degradation</w:t>
      </w:r>
      <w:r>
        <w:rPr>
          <w:rFonts w:ascii="Times New Roman" w:hAnsi="Times New Roman"/>
          <w:b w:val="0"/>
          <w:bCs w:val="0"/>
          <w:sz w:val="28"/>
          <w:szCs w:val="28"/>
          <w:rtl w:val="0"/>
        </w:rPr>
        <w:t xml:space="preserve"> </w:t>
      </w:r>
      <w:r>
        <w:rPr>
          <w:rFonts w:ascii="TH Sarabun New" w:hAnsi="TH Sarabun New"/>
          <w:b w:val="0"/>
          <w:bCs w:val="0"/>
          <w:sz w:val="28"/>
          <w:szCs w:val="28"/>
          <w:rtl w:val="0"/>
          <w:lang w:val="en-US"/>
        </w:rPr>
        <w:t>efficiency:</w:t>
      </w:r>
    </w:p>
    <w:p>
      <w:pPr>
        <w:pStyle w:val="ค่าเริ่มต้น"/>
        <w:suppressAutoHyphens w:val="1"/>
        <w:spacing w:before="0" w:line="240" w:lineRule="auto"/>
        <w:jc w:val="center"/>
        <w:rPr>
          <w:rFonts w:ascii="TH Sarabun New" w:cs="TH Sarabun New" w:hAnsi="TH Sarabun New" w:eastAsia="TH Sarabun New"/>
          <w:b w:val="1"/>
          <w:bCs w:val="1"/>
          <w:color w:val="000000"/>
          <w:sz w:val="28"/>
          <w:szCs w:val="28"/>
        </w:rPr>
      </w:pPr>
      <w:r>
        <w:rPr>
          <w:rFonts w:ascii="TH Sarabun New" w:hAnsi="TH Sarabun New"/>
          <w:b w:val="0"/>
          <w:bCs w:val="0"/>
          <w:sz w:val="28"/>
          <w:szCs w:val="28"/>
          <w:rtl w:val="0"/>
          <w:lang w:val="en-US"/>
        </w:rPr>
        <w:t xml:space="preserve">% </w:t>
      </w:r>
      <w:r>
        <w:rPr>
          <w:rFonts w:ascii="TH Sarabun New" w:hAnsi="TH Sarabun New"/>
          <w:b w:val="0"/>
          <w:bCs w:val="0"/>
          <w:sz w:val="28"/>
          <w:szCs w:val="28"/>
          <w:rtl w:val="0"/>
          <w:lang w:val="fr-FR"/>
        </w:rPr>
        <w:t>Degradation</w:t>
      </w:r>
      <w:r>
        <w:rPr>
          <w:rFonts w:ascii="TH Sarabun New" w:hAnsi="TH Sarabun New"/>
          <w:b w:val="0"/>
          <w:bCs w:val="0"/>
          <w:sz w:val="28"/>
          <w:szCs w:val="28"/>
          <w:rtl w:val="0"/>
          <w:lang w:val="en-US"/>
        </w:rPr>
        <w:t xml:space="preserve"> = </w:t>
      </w:r>
      <m:oMath>
        <m:d>
          <m:dPr>
            <m:ctrlPr>
              <w:rPr xmlns:w="http://schemas.openxmlformats.org/wordprocessingml/2006/main">
                <w:rFonts w:ascii="Cambria Math" w:hAnsi="Cambria Math"/>
                <w:i/>
                <w:color w:val="000000"/>
                <w:sz w:val="12"/>
                <w:szCs w:val="12"/>
              </w:rPr>
            </m:ctrlPr>
          </m:dPr>
          <m:e>
            <m:f>
              <m:fPr>
                <m:ctrlPr>
                  <w:rPr xmlns:w="http://schemas.openxmlformats.org/wordprocessingml/2006/main">
                    <w:rFonts w:ascii="Cambria Math" w:hAnsi="Cambria Math"/>
                    <w:i/>
                    <w:color w:val="000000"/>
                    <w:sz w:val="12"/>
                    <w:szCs w:val="12"/>
                  </w:rPr>
                </m:ctrlPr>
                <m:type m:val="bar"/>
              </m:fPr>
              <m:num>
                <m:sSub>
                  <m:e>
                    <m:r>
                      <w:rPr xmlns:w="http://schemas.openxmlformats.org/wordprocessingml/2006/main">
                        <w:rFonts w:ascii="Cambria Math" w:hAnsi="Cambria Math"/>
                        <w:i/>
                        <w:color w:val="000000"/>
                        <w:sz w:val="12"/>
                        <w:szCs w:val="12"/>
                      </w:rPr>
                      <m:t>A</m:t>
                    </m:r>
                  </m:e>
                  <m:sub>
                    <m:r>
                      <w:rPr xmlns:w="http://schemas.openxmlformats.org/wordprocessingml/2006/main">
                        <w:rFonts w:ascii="Cambria Math" w:hAnsi="Cambria Math"/>
                        <w:i/>
                        <w:color w:val="000000"/>
                        <w:sz w:val="12"/>
                        <w:szCs w:val="12"/>
                      </w:rPr>
                      <m:t>0</m:t>
                    </m:r>
                  </m:sub>
                </m:sSub>
                <m:r>
                  <w:rPr xmlns:w="http://schemas.openxmlformats.org/wordprocessingml/2006/main">
                    <w:rFonts w:ascii="Cambria Math" w:hAnsi="Cambria Math"/>
                    <w:i/>
                    <w:color w:val="000000"/>
                    <w:sz w:val="12"/>
                    <w:szCs w:val="12"/>
                  </w:rPr>
                  <m:t>-</m:t>
                </m:r>
                <m:r>
                  <w:rPr xmlns:w="http://schemas.openxmlformats.org/wordprocessingml/2006/main">
                    <w:rFonts w:ascii="Cambria Math" w:hAnsi="Cambria Math"/>
                    <w:i/>
                    <w:color w:val="000000"/>
                    <w:sz w:val="12"/>
                    <w:szCs w:val="12"/>
                  </w:rPr>
                  <m:t>A</m:t>
                </m:r>
              </m:num>
              <m:den>
                <m:sSub>
                  <m:e>
                    <m:r>
                      <w:rPr xmlns:w="http://schemas.openxmlformats.org/wordprocessingml/2006/main">
                        <w:rFonts w:ascii="Cambria Math" w:hAnsi="Cambria Math"/>
                        <w:i/>
                        <w:color w:val="000000"/>
                        <w:sz w:val="12"/>
                        <w:szCs w:val="12"/>
                      </w:rPr>
                      <m:t>A</m:t>
                    </m:r>
                  </m:e>
                  <m:sub>
                    <m:r>
                      <w:rPr xmlns:w="http://schemas.openxmlformats.org/wordprocessingml/2006/main">
                        <w:rFonts w:ascii="Cambria Math" w:hAnsi="Cambria Math"/>
                        <w:i/>
                        <w:color w:val="000000"/>
                        <w:sz w:val="12"/>
                        <w:szCs w:val="12"/>
                      </w:rPr>
                      <m:t>0</m:t>
                    </m:r>
                  </m:sub>
                </m:sSub>
              </m:den>
            </m:f>
          </m:e>
        </m:d>
        <m:r>
          <w:rPr xmlns:w="http://schemas.openxmlformats.org/wordprocessingml/2006/main">
            <w:rFonts w:ascii="Cambria Math" w:hAnsi="Cambria Math"/>
            <w:i/>
            <w:color w:val="000000"/>
            <w:sz w:val="12"/>
            <w:szCs w:val="12"/>
          </w:rPr>
          <m:t>×</m:t>
        </m:r>
        <m:r>
          <w:rPr xmlns:w="http://schemas.openxmlformats.org/wordprocessingml/2006/main">
            <w:rFonts w:ascii="Cambria Math" w:hAnsi="Cambria Math"/>
            <w:i/>
            <w:color w:val="000000"/>
            <w:sz w:val="12"/>
            <w:szCs w:val="12"/>
          </w:rPr>
          <m:t>100</m:t>
        </m:r>
      </m:oMath>
    </w:p>
    <w:p>
      <w:pPr>
        <w:pStyle w:val="เนื้อหา"/>
        <w:spacing w:after="0" w:line="240" w:lineRule="auto"/>
        <w:jc w:val="both"/>
      </w:pPr>
    </w:p>
    <w:p>
      <w:pPr>
        <w:pStyle w:val="เนื้อหา"/>
        <w:spacing w:after="0" w:line="240" w:lineRule="auto"/>
        <w:jc w:val="both"/>
        <w:rPr>
          <w:rFonts w:ascii="TH SarabunPSK" w:cs="TH SarabunPSK" w:hAnsi="TH SarabunPSK" w:eastAsia="TH SarabunPSK"/>
          <w:sz w:val="28"/>
          <w:szCs w:val="28"/>
        </w:rPr>
      </w:pPr>
      <w:r>
        <w:rPr>
          <w:rFonts w:ascii="TH SarabunPSK" w:hAnsi="TH SarabunPSK"/>
          <w:b w:val="1"/>
          <w:bCs w:val="1"/>
          <w:sz w:val="28"/>
          <w:szCs w:val="28"/>
          <w:rtl w:val="0"/>
          <w:lang w:val="en-US"/>
        </w:rPr>
        <w:t>Result and Discussion</w:t>
      </w:r>
      <w:r>
        <w:rPr>
          <w:rFonts w:ascii="TH SarabunPSK" w:hAnsi="TH SarabunPSK"/>
          <w:sz w:val="28"/>
          <w:szCs w:val="28"/>
          <w:rtl w:val="0"/>
        </w:rPr>
        <w:t xml:space="preserve"> </w:t>
      </w:r>
    </w:p>
    <w:p>
      <w:pPr>
        <w:pStyle w:val="เนื้อหา"/>
        <w:spacing w:after="0" w:line="240" w:lineRule="auto"/>
        <w:jc w:val="both"/>
        <w:rPr>
          <w:rFonts w:ascii="TH SarabunPSK" w:cs="TH SarabunPSK" w:hAnsi="TH SarabunPSK" w:eastAsia="TH SarabunPSK"/>
          <w:b w:val="1"/>
          <w:bCs w:val="1"/>
          <w:sz w:val="28"/>
          <w:szCs w:val="28"/>
        </w:rPr>
      </w:pPr>
      <w:r>
        <w:rPr>
          <w:rFonts w:ascii="TH SarabunPSK" w:hAnsi="TH SarabunPSK"/>
          <w:b w:val="1"/>
          <w:bCs w:val="1"/>
          <w:sz w:val="28"/>
          <w:szCs w:val="28"/>
          <w:rtl w:val="0"/>
          <w:lang w:val="en-US"/>
        </w:rPr>
        <w:t xml:space="preserve">1) </w:t>
      </w:r>
      <w:r>
        <w:rPr>
          <w:rFonts w:ascii="TH SarabunPSK" w:hAnsi="TH SarabunPSK"/>
          <w:b w:val="1"/>
          <w:bCs w:val="1"/>
          <w:sz w:val="28"/>
          <w:szCs w:val="28"/>
          <w:rtl w:val="0"/>
          <w:lang w:val="en-US"/>
        </w:rPr>
        <w:t>Characterization of ZnO NPs via TEM</w:t>
      </w:r>
    </w:p>
    <w:p>
      <w:pPr>
        <w:pStyle w:val="เนื้อหา"/>
        <w:spacing w:after="0" w:line="240" w:lineRule="auto"/>
        <w:jc w:val="both"/>
        <w:rPr>
          <w:rFonts w:ascii="TH SarabunPSK" w:cs="TH SarabunPSK" w:hAnsi="TH SarabunPSK" w:eastAsia="TH SarabunPSK"/>
          <w:b w:val="0"/>
          <w:bCs w:val="0"/>
          <w:sz w:val="28"/>
          <w:szCs w:val="28"/>
        </w:rPr>
      </w:pPr>
      <w:r>
        <w:rPr>
          <w:rFonts w:ascii="TH SarabunPSK" w:cs="TH SarabunPSK" w:hAnsi="TH SarabunPSK" w:eastAsia="TH SarabunPSK"/>
          <w:b w:val="1"/>
          <w:bCs w:val="1"/>
          <w:sz w:val="28"/>
          <w:szCs w:val="28"/>
        </w:rPr>
        <w:tab/>
      </w:r>
      <w:r>
        <w:rPr>
          <w:rFonts w:ascii="TH SarabunPSK" w:hAnsi="TH SarabunPSK"/>
          <w:b w:val="0"/>
          <w:bCs w:val="0"/>
          <w:sz w:val="28"/>
          <w:szCs w:val="28"/>
          <w:rtl w:val="0"/>
          <w:lang w:val="en-US"/>
        </w:rPr>
        <w:t>The morphology and particle size of the synthesized Zinc Oxide Nanoparticles (ZnO NPs) were characterized using Transmission Electron Microscopy (TEM).</w:t>
      </w:r>
      <w:r>
        <w:rPr>
          <w:rFonts w:ascii="TH SarabunPSK" w:cs="TH SarabunPSK" w:hAnsi="TH SarabunPSK" w:eastAsia="TH SarabunPSK"/>
          <w:b w:val="0"/>
          <w:bCs w:val="0"/>
          <w:sz w:val="28"/>
          <w:szCs w:val="28"/>
        </w:rPr>
        <mc:AlternateContent>
          <mc:Choice Requires="wpg">
            <w:drawing xmlns:a="http://schemas.openxmlformats.org/drawingml/2006/main">
              <wp:anchor distT="152400" distB="152400" distL="152400" distR="152400" simplePos="0" relativeHeight="251659264" behindDoc="0" locked="0" layoutInCell="1" allowOverlap="1">
                <wp:simplePos x="0" y="0"/>
                <wp:positionH relativeFrom="margin">
                  <wp:posOffset>-4701</wp:posOffset>
                </wp:positionH>
                <wp:positionV relativeFrom="line">
                  <wp:posOffset>205198</wp:posOffset>
                </wp:positionV>
                <wp:extent cx="3306091" cy="944740"/>
                <wp:effectExtent l="0" t="0" r="0" b="0"/>
                <wp:wrapThrough wrapText="bothSides" distL="152400" distR="152400">
                  <wp:wrapPolygon edited="1">
                    <wp:start x="0" y="0"/>
                    <wp:lineTo x="17278" y="0"/>
                    <wp:lineTo x="17278" y="15331"/>
                    <wp:lineTo x="0" y="15331"/>
                    <wp:lineTo x="0" y="0"/>
                  </wp:wrapPolygon>
                </wp:wrapThrough>
                <wp:docPr id="1073741836" name="officeArt object" descr="จัดกลุ่ม"/>
                <wp:cNvGraphicFramePr/>
                <a:graphic xmlns:a="http://schemas.openxmlformats.org/drawingml/2006/main">
                  <a:graphicData uri="http://schemas.microsoft.com/office/word/2010/wordprocessingGroup">
                    <wpg:wgp>
                      <wpg:cNvGrpSpPr/>
                      <wpg:grpSpPr>
                        <a:xfrm>
                          <a:off x="0" y="0"/>
                          <a:ext cx="3306091" cy="944740"/>
                          <a:chOff x="-318565" y="0"/>
                          <a:chExt cx="3306090" cy="944739"/>
                        </a:xfrm>
                      </wpg:grpSpPr>
                      <wpg:grpSp>
                        <wpg:cNvPr id="1073741829" name="จัดกลุ่ม"/>
                        <wpg:cNvGrpSpPr/>
                        <wpg:grpSpPr>
                          <a:xfrm>
                            <a:off x="-318566" y="-1"/>
                            <a:ext cx="1524001" cy="944741"/>
                            <a:chOff x="0" y="0"/>
                            <a:chExt cx="1524000" cy="944739"/>
                          </a:xfrm>
                        </wpg:grpSpPr>
                        <pic:pic xmlns:pic="http://schemas.openxmlformats.org/drawingml/2006/picture">
                          <pic:nvPicPr>
                            <pic:cNvPr id="1073741827" name="ภาพยนตร์ที่วาง.png" descr="ภาพยนตร์ที่วาง.png"/>
                            <pic:cNvPicPr>
                              <a:picLocks noChangeAspect="1"/>
                            </pic:cNvPicPr>
                          </pic:nvPicPr>
                          <pic:blipFill>
                            <a:blip r:embed="rId6">
                              <a:extLst/>
                            </a:blip>
                            <a:srcRect l="0" t="0" r="0" b="0"/>
                            <a:stretch>
                              <a:fillRect/>
                            </a:stretch>
                          </pic:blipFill>
                          <pic:spPr>
                            <a:xfrm>
                              <a:off x="318565" y="0"/>
                              <a:ext cx="886870" cy="670559"/>
                            </a:xfrm>
                            <a:prstGeom prst="rect">
                              <a:avLst/>
                            </a:prstGeom>
                            <a:ln w="12700" cap="flat">
                              <a:noFill/>
                              <a:miter lim="400000"/>
                            </a:ln>
                            <a:effectLst/>
                          </pic:spPr>
                        </pic:pic>
                        <wps:wsp>
                          <wps:cNvPr id="1073741828" name="Caption"/>
                          <wps:cNvSpPr/>
                          <wps:spPr>
                            <a:xfrm>
                              <a:off x="0" y="772158"/>
                              <a:ext cx="1524001" cy="172582"/>
                            </a:xfrm>
                            <a:prstGeom prst="roundRect">
                              <a:avLst>
                                <a:gd name="adj" fmla="val 0"/>
                              </a:avLst>
                            </a:prstGeom>
                            <a:solidFill>
                              <a:srgbClr val="000000">
                                <a:alpha val="0"/>
                              </a:srgbClr>
                            </a:solidFill>
                            <a:ln w="12700" cap="flat">
                              <a:noFill/>
                              <a:miter lim="400000"/>
                            </a:ln>
                            <a:effectLst/>
                          </wps:spPr>
                          <wps:txbx>
                            <w:txbxContent>
                              <w:p>
                                <w:pPr>
                                  <w:pStyle w:val="คำอธิบายภาพของวัตถุ"/>
                                </w:pPr>
                                <w:r>
                                  <w:rPr>
                                    <w:rFonts w:ascii="TH Sarabun New" w:hAnsi="TH Sarabun New"/>
                                    <w:sz w:val="20"/>
                                    <w:szCs w:val="20"/>
                                    <w:rtl w:val="0"/>
                                    <w:lang w:val="en-US"/>
                                  </w:rPr>
                                  <w:t>(a)</w:t>
                                </w:r>
                              </w:p>
                            </w:txbxContent>
                          </wps:txbx>
                          <wps:bodyPr wrap="square" lIns="0" tIns="0" rIns="0" bIns="0" numCol="1" anchor="t">
                            <a:noAutofit/>
                          </wps:bodyPr>
                        </wps:wsp>
                      </wpg:grpSp>
                      <wpg:grpSp>
                        <wpg:cNvPr id="1073741832" name="จัดกลุ่ม"/>
                        <wpg:cNvGrpSpPr/>
                        <wpg:grpSpPr>
                          <a:xfrm>
                            <a:off x="584269" y="2373"/>
                            <a:ext cx="1524001" cy="939993"/>
                            <a:chOff x="0" y="0"/>
                            <a:chExt cx="1524000" cy="939992"/>
                          </a:xfrm>
                        </wpg:grpSpPr>
                        <pic:pic xmlns:pic="http://schemas.openxmlformats.org/drawingml/2006/picture">
                          <pic:nvPicPr>
                            <pic:cNvPr id="1073741830" name="ภาพที่วาง.jpeg" descr="ภาพที่วาง.jpeg"/>
                            <pic:cNvPicPr>
                              <a:picLocks noChangeAspect="1"/>
                            </pic:cNvPicPr>
                          </pic:nvPicPr>
                          <pic:blipFill>
                            <a:blip r:embed="rId7">
                              <a:extLst/>
                            </a:blip>
                            <a:stretch>
                              <a:fillRect/>
                            </a:stretch>
                          </pic:blipFill>
                          <pic:spPr>
                            <a:xfrm>
                              <a:off x="344965" y="0"/>
                              <a:ext cx="834070" cy="665813"/>
                            </a:xfrm>
                            <a:prstGeom prst="rect">
                              <a:avLst/>
                            </a:prstGeom>
                            <a:ln w="12700" cap="flat">
                              <a:noFill/>
                              <a:miter lim="400000"/>
                            </a:ln>
                            <a:effectLst/>
                          </pic:spPr>
                        </pic:pic>
                        <wps:wsp>
                          <wps:cNvPr id="1073741831" name="Caption"/>
                          <wps:cNvSpPr/>
                          <wps:spPr>
                            <a:xfrm>
                              <a:off x="0" y="767412"/>
                              <a:ext cx="1524001" cy="172581"/>
                            </a:xfrm>
                            <a:prstGeom prst="roundRect">
                              <a:avLst>
                                <a:gd name="adj" fmla="val 0"/>
                              </a:avLst>
                            </a:prstGeom>
                            <a:solidFill>
                              <a:srgbClr val="000000">
                                <a:alpha val="0"/>
                              </a:srgbClr>
                            </a:solidFill>
                            <a:ln w="12700" cap="flat">
                              <a:noFill/>
                              <a:miter lim="400000"/>
                            </a:ln>
                            <a:effectLst/>
                          </wps:spPr>
                          <wps:txbx>
                            <w:txbxContent>
                              <w:p>
                                <w:pPr>
                                  <w:pStyle w:val="คำอธิบายภาพของวัตถุ"/>
                                </w:pPr>
                                <w:r>
                                  <w:rPr>
                                    <w:rFonts w:ascii="TH Sarabun New" w:hAnsi="TH Sarabun New"/>
                                    <w:sz w:val="20"/>
                                    <w:szCs w:val="20"/>
                                    <w:rtl w:val="0"/>
                                    <w:lang w:val="en-US"/>
                                  </w:rPr>
                                  <w:t>(b)</w:t>
                                </w:r>
                              </w:p>
                            </w:txbxContent>
                          </wps:txbx>
                          <wps:bodyPr wrap="square" lIns="0" tIns="0" rIns="0" bIns="0" numCol="1" anchor="t">
                            <a:noAutofit/>
                          </wps:bodyPr>
                        </wps:wsp>
                      </wpg:grpSp>
                      <wpg:grpSp>
                        <wpg:cNvPr id="1073741835" name="จัดกลุ่ม"/>
                        <wpg:cNvGrpSpPr/>
                        <wpg:grpSpPr>
                          <a:xfrm>
                            <a:off x="1463525" y="1189"/>
                            <a:ext cx="1524001" cy="942361"/>
                            <a:chOff x="0" y="0"/>
                            <a:chExt cx="1524000" cy="942360"/>
                          </a:xfrm>
                        </wpg:grpSpPr>
                        <pic:pic xmlns:pic="http://schemas.openxmlformats.org/drawingml/2006/picture">
                          <pic:nvPicPr>
                            <pic:cNvPr id="1073741833" name="ภาพที่วาง.jpeg" descr="ภาพที่วาง.jpeg"/>
                            <pic:cNvPicPr>
                              <a:picLocks noChangeAspect="1"/>
                            </pic:cNvPicPr>
                          </pic:nvPicPr>
                          <pic:blipFill>
                            <a:blip r:embed="rId8">
                              <a:extLst/>
                            </a:blip>
                            <a:srcRect l="0" t="0" r="0" b="0"/>
                            <a:stretch>
                              <a:fillRect/>
                            </a:stretch>
                          </pic:blipFill>
                          <pic:spPr>
                            <a:xfrm>
                              <a:off x="342890" y="0"/>
                              <a:ext cx="838220" cy="668180"/>
                            </a:xfrm>
                            <a:prstGeom prst="rect">
                              <a:avLst/>
                            </a:prstGeom>
                            <a:ln w="12700" cap="flat">
                              <a:noFill/>
                              <a:miter lim="400000"/>
                            </a:ln>
                            <a:effectLst/>
                          </pic:spPr>
                        </pic:pic>
                        <wps:wsp>
                          <wps:cNvPr id="1073741834" name="Caption"/>
                          <wps:cNvSpPr/>
                          <wps:spPr>
                            <a:xfrm>
                              <a:off x="0" y="769779"/>
                              <a:ext cx="1524001" cy="172582"/>
                            </a:xfrm>
                            <a:prstGeom prst="roundRect">
                              <a:avLst>
                                <a:gd name="adj" fmla="val 0"/>
                              </a:avLst>
                            </a:prstGeom>
                            <a:solidFill>
                              <a:srgbClr val="000000">
                                <a:alpha val="0"/>
                              </a:srgbClr>
                            </a:solidFill>
                            <a:ln w="12700" cap="flat">
                              <a:noFill/>
                              <a:miter lim="400000"/>
                            </a:ln>
                            <a:effectLst/>
                          </wps:spPr>
                          <wps:txbx>
                            <w:txbxContent>
                              <w:p>
                                <w:pPr>
                                  <w:pStyle w:val="คำอธิบายภาพของวัตถุ"/>
                                </w:pPr>
                                <w:r>
                                  <w:rPr>
                                    <w:rFonts w:ascii="TH Sarabun New" w:hAnsi="TH Sarabun New"/>
                                    <w:sz w:val="20"/>
                                    <w:szCs w:val="20"/>
                                    <w:rtl w:val="0"/>
                                    <w:lang w:val="en-US"/>
                                  </w:rPr>
                                  <w:t>(c)</w:t>
                                </w:r>
                              </w:p>
                            </w:txbxContent>
                          </wps:txbx>
                          <wps:bodyPr wrap="square" lIns="0" tIns="0" rIns="0" bIns="0" numCol="1" anchor="t">
                            <a:noAutofit/>
                          </wps:bodyPr>
                        </wps:wsp>
                      </wpg:grpSp>
                    </wpg:wgp>
                  </a:graphicData>
                </a:graphic>
              </wp:anchor>
            </w:drawing>
          </mc:Choice>
          <mc:Fallback>
            <w:pict>
              <v:group id="_x0000_s1026" style="visibility:visible;position:absolute;margin-left:-0.4pt;margin-top:16.2pt;width:260.3pt;height:74.4pt;z-index:251659264;mso-position-horizontal:absolute;mso-position-horizontal-relative:margin;mso-position-vertical:absolute;mso-position-vertical-relative:line;mso-wrap-distance-left:12.0pt;mso-wrap-distance-top:12.0pt;mso-wrap-distance-right:12.0pt;mso-wrap-distance-bottom:12.0pt;" coordorigin="-318566,0" coordsize="3306091,944739">
                <w10:wrap type="through" side="bothSides" anchorx="margin"/>
                <v:group id="_x0000_s1027" style="position:absolute;left:-318566;top:0;width:1524000;height:944739;" coordorigin="0,0" coordsize="1524000,944739">
                  <v:shape id="_x0000_s1028" type="#_x0000_t75" style="position:absolute;left:318566;top:0;width:886868;height:670559;">
                    <v:imagedata r:id="rId6" o:title="ภาพยนตร์ที่วาง.png"/>
                  </v:shape>
                  <v:roundrect id="_x0000_s1029" style="position:absolute;left:0;top:772159;width:1524000;height:172580;" adj="0">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คำอธิบายภาพของวัตถุ"/>
                          </w:pPr>
                          <w:r>
                            <w:rPr>
                              <w:rFonts w:ascii="TH Sarabun New" w:hAnsi="TH Sarabun New"/>
                              <w:sz w:val="20"/>
                              <w:szCs w:val="20"/>
                              <w:rtl w:val="0"/>
                              <w:lang w:val="en-US"/>
                            </w:rPr>
                            <w:t>(a)</w:t>
                          </w:r>
                        </w:p>
                      </w:txbxContent>
                    </v:textbox>
                  </v:roundrect>
                </v:group>
                <v:group id="_x0000_s1030" style="position:absolute;left:584269;top:2373;width:1524000;height:939993;" coordorigin="0,0" coordsize="1524000,939993">
                  <v:shape id="_x0000_s1031" type="#_x0000_t75" style="position:absolute;left:344966;top:0;width:834068;height:665812;">
                    <v:imagedata r:id="rId7" o:title="ภาพที่วาง.jpeg"/>
                  </v:shape>
                  <v:roundrect id="_x0000_s1032" style="position:absolute;left:0;top:767412;width:1524000;height:172580;" adj="0">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คำอธิบายภาพของวัตถุ"/>
                          </w:pPr>
                          <w:r>
                            <w:rPr>
                              <w:rFonts w:ascii="TH Sarabun New" w:hAnsi="TH Sarabun New"/>
                              <w:sz w:val="20"/>
                              <w:szCs w:val="20"/>
                              <w:rtl w:val="0"/>
                              <w:lang w:val="en-US"/>
                            </w:rPr>
                            <w:t>(b)</w:t>
                          </w:r>
                        </w:p>
                      </w:txbxContent>
                    </v:textbox>
                  </v:roundrect>
                </v:group>
                <v:group id="_x0000_s1033" style="position:absolute;left:1463525;top:1190;width:1524000;height:942360;" coordorigin="0,0" coordsize="1524000,942360">
                  <v:shape id="_x0000_s1034" type="#_x0000_t75" style="position:absolute;left:342891;top:0;width:838219;height:668180;">
                    <v:imagedata r:id="rId8" o:title="ภาพที่วาง.jpeg" cropleft="0.0%" cropbottom="0.0%"/>
                  </v:shape>
                  <v:roundrect id="_x0000_s1035" style="position:absolute;left:0;top:769780;width:1524000;height:172580;" adj="0">
                    <v:fill color="#000000" opacity="0.0%" type="solid"/>
                    <v:stroke on="f" weight="1.0pt" dashstyle="solid" endcap="flat" miterlimit="400.0%" joinstyle="miter" linestyle="single" startarrow="none" startarrowwidth="medium" startarrowlength="medium" endarrow="none" endarrowwidth="medium" endarrowlength="medium"/>
                    <v:textbox>
                      <w:txbxContent>
                        <w:p>
                          <w:pPr>
                            <w:pStyle w:val="คำอธิบายภาพของวัตถุ"/>
                          </w:pPr>
                          <w:r>
                            <w:rPr>
                              <w:rFonts w:ascii="TH Sarabun New" w:hAnsi="TH Sarabun New"/>
                              <w:sz w:val="20"/>
                              <w:szCs w:val="20"/>
                              <w:rtl w:val="0"/>
                              <w:lang w:val="en-US"/>
                            </w:rPr>
                            <w:t>(c)</w:t>
                          </w:r>
                        </w:p>
                      </w:txbxContent>
                    </v:textbox>
                  </v:roundrect>
                </v:group>
              </v:group>
            </w:pict>
          </mc:Fallback>
        </mc:AlternateContent>
      </w:r>
    </w:p>
    <w:p>
      <w:pPr>
        <w:pStyle w:val="เนื้อหา"/>
        <w:spacing w:after="0" w:line="240" w:lineRule="auto"/>
        <w:jc w:val="both"/>
        <w:rPr>
          <w:rFonts w:ascii="TH SarabunPSK" w:cs="TH SarabunPSK" w:hAnsi="TH SarabunPSK" w:eastAsia="TH SarabunPSK"/>
          <w:b w:val="0"/>
          <w:bCs w:val="0"/>
          <w:sz w:val="28"/>
          <w:szCs w:val="28"/>
        </w:rPr>
      </w:pPr>
      <w:r>
        <w:rPr>
          <w:rFonts w:ascii="TH SarabunPSK" w:hAnsi="TH SarabunPSK"/>
          <w:b w:val="1"/>
          <w:bCs w:val="1"/>
          <w:sz w:val="28"/>
          <w:szCs w:val="28"/>
          <w:rtl w:val="0"/>
          <w:lang w:val="en-US"/>
        </w:rPr>
        <w:t xml:space="preserve">Fig. 1 </w:t>
      </w:r>
      <w:r>
        <w:rPr>
          <w:rFonts w:ascii="TH SarabunPSK" w:hAnsi="TH SarabunPSK"/>
          <w:b w:val="0"/>
          <w:bCs w:val="0"/>
          <w:sz w:val="28"/>
          <w:szCs w:val="28"/>
          <w:rtl w:val="0"/>
          <w:lang w:val="en-US"/>
        </w:rPr>
        <w:t>TEM image of the synthesis ZnO (a) ZnO, (b) ZnO NPs with Green, (c) ZnO NPs with Sol Gel</w:t>
      </w:r>
    </w:p>
    <w:p>
      <w:pPr>
        <w:pStyle w:val="เนื้อหา"/>
        <w:spacing w:after="0" w:line="240" w:lineRule="auto"/>
        <w:jc w:val="both"/>
        <w:rPr>
          <w:rFonts w:ascii="TH SarabunPSK" w:cs="TH SarabunPSK" w:hAnsi="TH SarabunPSK" w:eastAsia="TH SarabunPSK"/>
          <w:b w:val="0"/>
          <w:bCs w:val="0"/>
          <w:sz w:val="28"/>
          <w:szCs w:val="28"/>
        </w:rPr>
      </w:pPr>
    </w:p>
    <w:p>
      <w:pPr>
        <w:pStyle w:val="เนื้อหา"/>
        <w:spacing w:after="0" w:line="240" w:lineRule="auto"/>
        <w:jc w:val="both"/>
        <w:rPr>
          <w:rFonts w:ascii="TH SarabunPSK" w:cs="TH SarabunPSK" w:hAnsi="TH SarabunPSK" w:eastAsia="TH SarabunPSK"/>
          <w:b w:val="0"/>
          <w:bCs w:val="0"/>
          <w:sz w:val="28"/>
          <w:szCs w:val="28"/>
        </w:rPr>
      </w:pPr>
      <w:r>
        <w:rPr>
          <w:rFonts w:ascii="TH SarabunPSK" w:cs="TH SarabunPSK" w:hAnsi="TH SarabunPSK" w:eastAsia="TH SarabunPSK"/>
          <w:b w:val="0"/>
          <w:bCs w:val="0"/>
          <w:sz w:val="28"/>
          <w:szCs w:val="28"/>
        </w:rPr>
        <w:tab/>
      </w:r>
      <w:r>
        <w:rPr>
          <w:rFonts w:ascii="TH SarabunPSK" w:hAnsi="TH SarabunPSK"/>
          <w:b w:val="0"/>
          <w:bCs w:val="0"/>
          <w:sz w:val="28"/>
          <w:szCs w:val="28"/>
          <w:rtl w:val="0"/>
          <w:lang w:val="en-US"/>
        </w:rPr>
        <w:t>The analysis revealed distinct structural differences between the synthesis methods. The commercial ZnO (Fig. 1a) exhibited a rod-like morphology with a size range of 100</w:t>
      </w:r>
      <w:r>
        <w:rPr>
          <w:rFonts w:ascii="TH SarabunPSK" w:hAnsi="TH SarabunPSK" w:hint="default"/>
          <w:b w:val="0"/>
          <w:bCs w:val="0"/>
          <w:sz w:val="28"/>
          <w:szCs w:val="28"/>
          <w:rtl w:val="0"/>
        </w:rPr>
        <w:t>–</w:t>
      </w:r>
      <w:r>
        <w:rPr>
          <w:rFonts w:ascii="TH SarabunPSK" w:hAnsi="TH SarabunPSK"/>
          <w:b w:val="0"/>
          <w:bCs w:val="0"/>
          <w:sz w:val="28"/>
          <w:szCs w:val="28"/>
          <w:rtl w:val="0"/>
          <w:lang w:val="en-US"/>
        </w:rPr>
        <w:t>250 nm, while the green-synthesized ZnO NPs (Fig. 1b) showed a similar rod-like structure but with a more refined size of 100</w:t>
      </w:r>
      <w:r>
        <w:rPr>
          <w:rFonts w:ascii="TH SarabunPSK" w:hAnsi="TH SarabunPSK" w:hint="default"/>
          <w:b w:val="0"/>
          <w:bCs w:val="0"/>
          <w:sz w:val="28"/>
          <w:szCs w:val="28"/>
          <w:rtl w:val="0"/>
        </w:rPr>
        <w:t>–</w:t>
      </w:r>
      <w:r>
        <w:rPr>
          <w:rFonts w:ascii="TH SarabunPSK" w:hAnsi="TH SarabunPSK"/>
          <w:b w:val="0"/>
          <w:bCs w:val="0"/>
          <w:sz w:val="28"/>
          <w:szCs w:val="28"/>
          <w:rtl w:val="0"/>
          <w:lang w:val="en-US"/>
        </w:rPr>
        <w:t>150 nm. In contrast, the sol</w:t>
      </w:r>
      <w:r>
        <w:rPr>
          <w:rFonts w:ascii="TH SarabunPSK" w:hAnsi="TH SarabunPSK" w:hint="default"/>
          <w:b w:val="0"/>
          <w:bCs w:val="0"/>
          <w:sz w:val="28"/>
          <w:szCs w:val="28"/>
          <w:rtl w:val="0"/>
        </w:rPr>
        <w:t>–</w:t>
      </w:r>
      <w:r>
        <w:rPr>
          <w:rFonts w:ascii="TH SarabunPSK" w:hAnsi="TH SarabunPSK"/>
          <w:b w:val="0"/>
          <w:bCs w:val="0"/>
          <w:sz w:val="28"/>
          <w:szCs w:val="28"/>
          <w:rtl w:val="0"/>
          <w:lang w:val="en-US"/>
        </w:rPr>
        <w:t>gel synthesized ZnO NPs (Fig. 1c) displayed a significantly different morphology, appearing as small spherical particles with a diameter of only 5</w:t>
      </w:r>
      <w:r>
        <w:rPr>
          <w:rFonts w:ascii="TH SarabunPSK" w:hAnsi="TH SarabunPSK" w:hint="default"/>
          <w:b w:val="0"/>
          <w:bCs w:val="0"/>
          <w:sz w:val="28"/>
          <w:szCs w:val="28"/>
          <w:rtl w:val="0"/>
        </w:rPr>
        <w:t>–</w:t>
      </w:r>
      <w:r>
        <w:rPr>
          <w:rFonts w:ascii="TH SarabunPSK" w:hAnsi="TH SarabunPSK"/>
          <w:b w:val="0"/>
          <w:bCs w:val="0"/>
          <w:sz w:val="28"/>
          <w:szCs w:val="28"/>
          <w:rtl w:val="0"/>
          <w:lang w:val="en-US"/>
        </w:rPr>
        <w:t>20 nm. This reduction in size and shift in shape suggest that the sol</w:t>
      </w:r>
      <w:r>
        <w:rPr>
          <w:rFonts w:ascii="TH SarabunPSK" w:hAnsi="TH SarabunPSK" w:hint="default"/>
          <w:b w:val="0"/>
          <w:bCs w:val="0"/>
          <w:sz w:val="28"/>
          <w:szCs w:val="28"/>
          <w:rtl w:val="0"/>
        </w:rPr>
        <w:t>–</w:t>
      </w:r>
      <w:r>
        <w:rPr>
          <w:rFonts w:ascii="TH SarabunPSK" w:hAnsi="TH SarabunPSK"/>
          <w:b w:val="0"/>
          <w:bCs w:val="0"/>
          <w:sz w:val="28"/>
          <w:szCs w:val="28"/>
          <w:rtl w:val="0"/>
          <w:lang w:val="en-US"/>
        </w:rPr>
        <w:t>gel process provides superior control over nucleation and growth kinetics compared to the green synthesis method used in this study.</w:t>
      </w:r>
    </w:p>
    <w:p>
      <w:pPr>
        <w:pStyle w:val="เนื้อหา"/>
        <w:spacing w:after="0" w:line="240" w:lineRule="auto"/>
        <w:jc w:val="both"/>
        <w:rPr>
          <w:rFonts w:ascii="TH SarabunPSK" w:cs="TH SarabunPSK" w:hAnsi="TH SarabunPSK" w:eastAsia="TH SarabunPSK"/>
          <w:b w:val="0"/>
          <w:bCs w:val="0"/>
          <w:sz w:val="28"/>
          <w:szCs w:val="28"/>
        </w:rPr>
      </w:pPr>
    </w:p>
    <w:p>
      <w:pPr>
        <w:pStyle w:val="เนื้อหา"/>
        <w:spacing w:after="0" w:line="240" w:lineRule="auto"/>
        <w:jc w:val="both"/>
        <w:rPr>
          <w:rFonts w:ascii="TH SarabunPSK" w:cs="TH SarabunPSK" w:hAnsi="TH SarabunPSK" w:eastAsia="TH SarabunPSK"/>
          <w:b w:val="1"/>
          <w:bCs w:val="1"/>
          <w:sz w:val="28"/>
          <w:szCs w:val="28"/>
        </w:rPr>
      </w:pPr>
      <w:r>
        <w:rPr>
          <w:rFonts w:ascii="TH SarabunPSK" w:hAnsi="TH SarabunPSK"/>
          <w:b w:val="1"/>
          <w:bCs w:val="1"/>
          <w:sz w:val="28"/>
          <w:szCs w:val="28"/>
          <w:rtl w:val="0"/>
          <w:lang w:val="en-US"/>
        </w:rPr>
        <w:t xml:space="preserve">2) </w:t>
      </w:r>
      <w:r>
        <w:rPr>
          <w:rFonts w:ascii="TH SarabunPSK" w:hAnsi="TH SarabunPSK"/>
          <w:b w:val="1"/>
          <w:bCs w:val="1"/>
          <w:sz w:val="28"/>
          <w:szCs w:val="28"/>
          <w:rtl w:val="0"/>
          <w:lang w:val="en-US"/>
        </w:rPr>
        <w:t>Hydrophobicity and Water Contact Angle</w:t>
      </w:r>
    </w:p>
    <w:p>
      <w:pPr>
        <w:pStyle w:val="เนื้อหา"/>
        <w:spacing w:after="0" w:line="240" w:lineRule="auto"/>
        <w:jc w:val="both"/>
        <w:rPr>
          <w:rFonts w:ascii="TH Sarabun New" w:cs="TH Sarabun New" w:hAnsi="TH Sarabun New" w:eastAsia="TH Sarabun New"/>
          <w:sz w:val="28"/>
          <w:szCs w:val="28"/>
        </w:rPr>
      </w:pPr>
      <w:r>
        <w:rPr>
          <w:rFonts w:ascii="TH SarabunPSK" w:cs="TH SarabunPSK" w:hAnsi="TH SarabunPSK" w:eastAsia="TH SarabunPSK"/>
          <w:sz w:val="28"/>
          <w:szCs w:val="28"/>
        </w:rPr>
        <w:tab/>
      </w:r>
      <w:r>
        <w:rPr>
          <w:rFonts w:ascii="TH Sarabun New" w:hAnsi="TH Sarabun New"/>
          <w:sz w:val="28"/>
          <w:szCs w:val="28"/>
          <w:rtl w:val="0"/>
          <w:lang w:val="en-US"/>
        </w:rPr>
        <w:t>The sol</w:t>
      </w:r>
      <w:r>
        <w:rPr>
          <w:rFonts w:ascii="TH Sarabun New" w:hAnsi="TH Sarabun New" w:hint="default"/>
          <w:sz w:val="28"/>
          <w:szCs w:val="28"/>
          <w:rtl w:val="0"/>
        </w:rPr>
        <w:t>–</w:t>
      </w:r>
      <w:r>
        <w:rPr>
          <w:rFonts w:ascii="TH Sarabun New" w:hAnsi="TH Sarabun New"/>
          <w:sz w:val="28"/>
          <w:szCs w:val="28"/>
          <w:rtl w:val="0"/>
          <w:lang w:val="en-US"/>
        </w:rPr>
        <w:t xml:space="preserve">gel synthesized ZnO NPs exhibited the highest water repellency, particularly when applied via spray coating, achieving a contact angle of 79.23 </w:t>
      </w:r>
      <w:r>
        <w:rPr>
          <w:rFonts w:ascii="TH Sarabun New" w:hAnsi="TH Sarabun New" w:hint="default"/>
          <w:sz w:val="28"/>
          <w:szCs w:val="28"/>
          <w:rtl w:val="1"/>
        </w:rPr>
        <w:t xml:space="preserve">± </w:t>
      </w:r>
      <w:r>
        <w:rPr>
          <w:rFonts w:ascii="TH Sarabun New" w:hAnsi="TH Sarabun New"/>
          <w:sz w:val="28"/>
          <w:szCs w:val="28"/>
          <w:rtl w:val="0"/>
        </w:rPr>
        <w:t>1.80</w:t>
      </w:r>
      <w:r>
        <w:rPr>
          <w:rFonts w:ascii="TH Sarabun New" w:hAnsi="TH Sarabun New" w:hint="default"/>
          <w:sz w:val="28"/>
          <w:szCs w:val="28"/>
          <w:rtl w:val="0"/>
          <w:lang w:val="it-IT"/>
        </w:rPr>
        <w:t xml:space="preserve">° </w:t>
      </w:r>
      <w:r>
        <w:rPr>
          <w:rFonts w:ascii="TH Sarabun New" w:hAnsi="TH Sarabun New"/>
          <w:sz w:val="28"/>
          <w:szCs w:val="28"/>
          <w:rtl w:val="0"/>
          <w:lang w:val="en-US"/>
        </w:rPr>
        <w:t>after 15 washes. This significantly outperformed the green-synthesized particles. The enh</w:t>
      </w:r>
      <w:r>
        <mc:AlternateContent>
          <mc:Choice Requires="wps">
            <w:drawing xmlns:a="http://schemas.openxmlformats.org/drawingml/2006/main">
              <wp:anchor distT="0" distB="0" distL="0" distR="0" simplePos="0" relativeHeight="251660288" behindDoc="0" locked="0" layoutInCell="1" allowOverlap="1">
                <wp:simplePos x="0" y="0"/>
                <wp:positionH relativeFrom="page">
                  <wp:posOffset>4189434</wp:posOffset>
                </wp:positionH>
                <wp:positionV relativeFrom="page">
                  <wp:posOffset>4338280</wp:posOffset>
                </wp:positionV>
                <wp:extent cx="2646076" cy="2245059"/>
                <wp:effectExtent l="0" t="0" r="0" b="0"/>
                <wp:wrapThrough wrapText="bothSides" distL="0" distR="0">
                  <wp:wrapPolygon edited="1">
                    <wp:start x="-207" y="-244"/>
                    <wp:lineTo x="21771" y="-244"/>
                    <wp:lineTo x="21771" y="21750"/>
                    <wp:lineTo x="-207" y="21750"/>
                    <wp:lineTo x="-207" y="-244"/>
                  </wp:wrapPolygon>
                </wp:wrapThrough>
                <wp:docPr id="1073741837" name="officeArt object"/>
                <wp:cNvGraphicFramePr/>
                <a:graphic xmlns:a="http://schemas.openxmlformats.org/drawingml/2006/main">
                  <a:graphicData uri="http://schemas.microsoft.com/office/word/2010/wordprocessingShape">
                    <wps:wsp>
                      <wps:cNvSpPr/>
                      <wps:spPr>
                        <a:xfrm>
                          <a:off x="0" y="0"/>
                          <a:ext cx="2646076" cy="2245059"/>
                        </a:xfrm>
                        <a:prstGeom prst="rect">
                          <a:avLst/>
                        </a:prstGeom>
                      </wps:spPr>
                      <wps:txbx>
                        <w:txbxContent>
                          <w:tbl>
                            <w:tblPr>
                              <w:tblW w:w="4157" w:type="dxa"/>
                              <w:tblInd w:w="5"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000000"/>
                              <w:tblLayout w:type="fixed"/>
                            </w:tblPr>
                            <w:tblGrid>
                              <w:gridCol w:w="733"/>
                              <w:gridCol w:w="772"/>
                              <w:gridCol w:w="645"/>
                              <w:gridCol w:w="681"/>
                              <w:gridCol w:w="648"/>
                              <w:gridCol w:w="678"/>
                            </w:tblGrid>
                            <w:tr>
                              <w:tblPrEx>
                                <w:shd w:val="clear" w:color="auto" w:fill="000000"/>
                              </w:tblPrEx>
                              <w:trPr>
                                <w:trHeight w:val="524" w:hRule="atLeast"/>
                              </w:trPr>
                              <w:tc>
                                <w:tcPr>
                                  <w:tcW w:type="dxa" w:w="1505"/>
                                  <w:gridSpan w:val="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Test Fabric</w:t>
                                  </w:r>
                                </w:p>
                              </w:tc>
                              <w:tc>
                                <w:tcPr>
                                  <w:tcW w:type="dxa" w:w="2651"/>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b w:val="1"/>
                                      <w:bCs w:val="1"/>
                                      <w:sz w:val="20"/>
                                      <w:szCs w:val="20"/>
                                      <w:rtl w:val="0"/>
                                    </w:rPr>
                                    <w:t>Contact Angle (</w:t>
                                  </w:r>
                                  <w:r>
                                    <w:rPr>
                                      <w:rFonts w:ascii="TH Sarabun New" w:hAnsi="TH Sarabun New" w:hint="default"/>
                                      <w:b w:val="1"/>
                                      <w:bCs w:val="1"/>
                                      <w:sz w:val="20"/>
                                      <w:szCs w:val="20"/>
                                      <w:rtl w:val="0"/>
                                    </w:rPr>
                                    <w:t>°</w:t>
                                  </w:r>
                                  <w:r>
                                    <w:rPr>
                                      <w:rFonts w:ascii="TH Sarabun New" w:hAnsi="TH Sarabun New"/>
                                      <w:b w:val="1"/>
                                      <w:bCs w:val="1"/>
                                      <w:sz w:val="20"/>
                                      <w:szCs w:val="20"/>
                                      <w:rtl w:val="0"/>
                                    </w:rPr>
                                    <w:t>) / Washing Cycle (No.)</w:t>
                                  </w:r>
                                </w:p>
                              </w:tc>
                            </w:tr>
                            <w:tr>
                              <w:tblPrEx>
                                <w:shd w:val="clear" w:color="auto" w:fill="000000"/>
                              </w:tblPrEx>
                              <w:trPr>
                                <w:trHeight w:val="382" w:hRule="atLeast"/>
                              </w:trPr>
                              <w:tc>
                                <w:tcPr>
                                  <w:tcW w:type="dxa" w:w="1505"/>
                                  <w:gridSpan w:val="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5</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10</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15</w:t>
                                  </w:r>
                                </w:p>
                              </w:tc>
                            </w:tr>
                            <w:tr>
                              <w:tblPrEx>
                                <w:shd w:val="clear" w:color="auto" w:fill="000000"/>
                              </w:tblPrEx>
                              <w:trPr>
                                <w:trHeight w:val="524" w:hRule="atLeast"/>
                              </w:trPr>
                              <w:tc>
                                <w:tcPr>
                                  <w:tcW w:type="dxa" w:w="150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Control Fabric </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after="213" w:line="240" w:lineRule="auto"/>
                                    <w:jc w:val="center"/>
                                  </w:pPr>
                                  <w:r>
                                    <w:rPr>
                                      <w:rFonts w:ascii="TH Sarabun New" w:hAnsi="TH Sarabun New"/>
                                      <w:sz w:val="20"/>
                                      <w:szCs w:val="20"/>
                                      <w:rtl w:val="0"/>
                                    </w:rPr>
                                    <w:t xml:space="preserve">64.30    </w:t>
                                  </w:r>
                                  <w:r>
                                    <w:rPr>
                                      <w:rFonts w:ascii="TH Sarabun New" w:hAnsi="TH Sarabun New" w:hint="default"/>
                                      <w:sz w:val="20"/>
                                      <w:szCs w:val="20"/>
                                      <w:rtl w:val="0"/>
                                    </w:rPr>
                                    <w:t xml:space="preserve">± </w:t>
                                  </w:r>
                                  <w:r>
                                    <w:rPr>
                                      <w:rFonts w:ascii="TH Sarabun New" w:hAnsi="TH Sarabun New"/>
                                      <w:sz w:val="20"/>
                                      <w:szCs w:val="20"/>
                                      <w:rtl w:val="0"/>
                                    </w:rPr>
                                    <w:t>2.65</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sz w:val="20"/>
                                      <w:szCs w:val="20"/>
                                      <w:rtl w:val="0"/>
                                    </w:rPr>
                                    <w:t xml:space="preserve">63.75    </w:t>
                                  </w:r>
                                  <w:r>
                                    <w:rPr>
                                      <w:rFonts w:ascii="TH Sarabun New" w:hAnsi="TH Sarabun New" w:hint="default"/>
                                      <w:sz w:val="20"/>
                                      <w:szCs w:val="20"/>
                                      <w:rtl w:val="0"/>
                                    </w:rPr>
                                    <w:t xml:space="preserve">± </w:t>
                                  </w:r>
                                  <w:r>
                                    <w:rPr>
                                      <w:rFonts w:ascii="TH Sarabun New" w:hAnsi="TH Sarabun New"/>
                                      <w:sz w:val="20"/>
                                      <w:szCs w:val="20"/>
                                      <w:rtl w:val="0"/>
                                    </w:rPr>
                                    <w:t>1.00</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sz w:val="20"/>
                                      <w:szCs w:val="20"/>
                                      <w:rtl w:val="0"/>
                                    </w:rPr>
                                    <w:t xml:space="preserve">64.67  </w:t>
                                  </w:r>
                                  <w:r>
                                    <w:rPr>
                                      <w:rFonts w:ascii="TH Sarabun New" w:hAnsi="TH Sarabun New" w:hint="default"/>
                                      <w:sz w:val="20"/>
                                      <w:szCs w:val="20"/>
                                      <w:rtl w:val="0"/>
                                    </w:rPr>
                                    <w:t xml:space="preserve">± </w:t>
                                  </w:r>
                                  <w:r>
                                    <w:rPr>
                                      <w:rFonts w:ascii="TH Sarabun New" w:hAnsi="TH Sarabun New"/>
                                      <w:sz w:val="20"/>
                                      <w:szCs w:val="20"/>
                                      <w:rtl w:val="0"/>
                                    </w:rPr>
                                    <w:t>1.53</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sz w:val="20"/>
                                      <w:szCs w:val="20"/>
                                      <w:rtl w:val="0"/>
                                    </w:rPr>
                                    <w:t xml:space="preserve">62.25   </w:t>
                                  </w:r>
                                  <w:r>
                                    <w:rPr>
                                      <w:rFonts w:ascii="TH Sarabun New" w:hAnsi="TH Sarabun New" w:hint="default"/>
                                      <w:sz w:val="20"/>
                                      <w:szCs w:val="20"/>
                                      <w:rtl w:val="0"/>
                                    </w:rPr>
                                    <w:t xml:space="preserve">± </w:t>
                                  </w:r>
                                  <w:r>
                                    <w:rPr>
                                      <w:rFonts w:ascii="TH Sarabun New" w:hAnsi="TH Sarabun New"/>
                                      <w:sz w:val="20"/>
                                      <w:szCs w:val="20"/>
                                      <w:rtl w:val="0"/>
                                    </w:rPr>
                                    <w:t>1.00</w:t>
                                  </w:r>
                                </w:p>
                              </w:tc>
                            </w:tr>
                            <w:tr>
                              <w:tblPrEx>
                                <w:shd w:val="clear" w:color="auto" w:fill="000000"/>
                              </w:tblPrEx>
                              <w:trPr>
                                <w:trHeight w:val="524" w:hRule="atLeast"/>
                              </w:trPr>
                              <w:tc>
                                <w:tcPr>
                                  <w:tcW w:type="dxa" w:w="73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ZnO-Nps-Green</w:t>
                                  </w:r>
                                </w:p>
                              </w:tc>
                              <w:tc>
                                <w:tcPr>
                                  <w:tcW w:type="dxa" w:w="7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dip-coating</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92.33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1.15</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144"/>
                                    <w:bottom w:type="dxa" w:w="0"/>
                                    <w:right w:type="dxa" w:w="144"/>
                                  </w:tcMar>
                                  <w:vAlign w:val="center"/>
                                </w:tcPr>
                                <w:p>
                                  <w:pPr>
                                    <w:keepNext w:val="0"/>
                                    <w:keepLines w:val="0"/>
                                    <w:pageBreakBefore w:val="0"/>
                                    <w:widowControl w:val="1"/>
                                    <w:shd w:val="clear" w:color="auto" w:fill="auto"/>
                                    <w:suppressAutoHyphens w:val="1"/>
                                    <w:bidi w:val="0"/>
                                    <w:spacing w:before="0" w:after="213"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76.9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1.83</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74.73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3.50</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66.13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2.42</w:t>
                                  </w:r>
                                </w:p>
                              </w:tc>
                            </w:tr>
                            <w:tr>
                              <w:tblPrEx>
                                <w:shd w:val="clear" w:color="auto" w:fill="000000"/>
                              </w:tblPrEx>
                              <w:trPr>
                                <w:trHeight w:val="524" w:hRule="atLeast"/>
                              </w:trPr>
                              <w:tc>
                                <w:tcPr>
                                  <w:tcW w:type="dxa" w:w="73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7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spraying</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101.17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2.35</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144"/>
                                    <w:bottom w:type="dxa" w:w="0"/>
                                    <w:right w:type="dxa" w:w="144"/>
                                  </w:tcMar>
                                  <w:vAlign w:val="center"/>
                                </w:tcPr>
                                <w:p>
                                  <w:pPr>
                                    <w:keepNext w:val="0"/>
                                    <w:keepLines w:val="0"/>
                                    <w:pageBreakBefore w:val="0"/>
                                    <w:widowControl w:val="1"/>
                                    <w:shd w:val="clear" w:color="auto" w:fill="auto"/>
                                    <w:suppressAutoHyphens w:val="1"/>
                                    <w:bidi w:val="0"/>
                                    <w:spacing w:before="0" w:after="213"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80.57</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2.25</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76.10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1.85</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74.00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1.20</w:t>
                                  </w:r>
                                </w:p>
                              </w:tc>
                            </w:tr>
                            <w:tr>
                              <w:tblPrEx>
                                <w:shd w:val="clear" w:color="auto" w:fill="000000"/>
                              </w:tblPrEx>
                              <w:trPr>
                                <w:trHeight w:val="524" w:hRule="atLeast"/>
                              </w:trPr>
                              <w:tc>
                                <w:tcPr>
                                  <w:tcW w:type="dxa" w:w="73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ZnO-Nps-Sol-Gel</w:t>
                                  </w:r>
                                </w:p>
                              </w:tc>
                              <w:tc>
                                <w:tcPr>
                                  <w:tcW w:type="dxa" w:w="7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dip-coating</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86.30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2.98</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81.50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4.76</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77.60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1.31</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76.80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0.36</w:t>
                                  </w:r>
                                </w:p>
                              </w:tc>
                            </w:tr>
                            <w:tr>
                              <w:tblPrEx>
                                <w:shd w:val="clear" w:color="auto" w:fill="000000"/>
                              </w:tblPrEx>
                              <w:trPr>
                                <w:trHeight w:val="524" w:hRule="atLeast"/>
                              </w:trPr>
                              <w:tc>
                                <w:tcPr>
                                  <w:tcW w:type="dxa" w:w="73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7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spraying</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101.87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0.80</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87.93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0.31</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85.37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0.90</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79.23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1.80</w:t>
                                  </w:r>
                                </w:p>
                              </w:tc>
                            </w:tr>
                          </w:tbl>
                        </w:txbxContent>
                      </wps:txbx>
                      <wps:bodyPr lIns="0" tIns="0" rIns="0" bIns="0">
                        <a:spAutoFit/>
                      </wps:bodyPr>
                    </wps:wsp>
                  </a:graphicData>
                </a:graphic>
              </wp:anchor>
            </w:drawing>
          </mc:Choice>
          <mc:Fallback>
            <w:pict>
              <v:shape id="_x0000_s1036" type="#_x0000_t202" style="visibility:visible;position:absolute;margin-left:329.9pt;margin-top:341.6pt;width:208.4pt;height:176.8pt;z-index:251660288;mso-position-horizontal:absolute;mso-position-horizontal-relative:page;mso-position-vertical:absolute;mso-position-vertical-relative:page;mso-wrap-distance-left:0.0pt;mso-wrap-distance-top:0.0pt;mso-wrap-distance-right:0.0pt;mso-wrap-distance-bottom:0.0pt;">
                <v:fill on="f"/>
                <v:stroke on="f" weight="0.8pt" dashstyle="solid" endcap="flat" joinstyle="round" linestyle="single" startarrow="none" startarrowwidth="medium" startarrowlength="medium" endarrow="none" endarrowwidth="medium" endarrowlength="medium"/>
                <v:textbox>
                  <w:txbxContent>
                    <w:tbl>
                      <w:tblPr>
                        <w:tblW w:w="4157" w:type="dxa"/>
                        <w:tblInd w:w="5"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000000"/>
                        <w:tblLayout w:type="fixed"/>
                      </w:tblPr>
                      <w:tblGrid>
                        <w:gridCol w:w="733"/>
                        <w:gridCol w:w="772"/>
                        <w:gridCol w:w="645"/>
                        <w:gridCol w:w="681"/>
                        <w:gridCol w:w="648"/>
                        <w:gridCol w:w="678"/>
                      </w:tblGrid>
                      <w:tr>
                        <w:tblPrEx>
                          <w:shd w:val="clear" w:color="auto" w:fill="000000"/>
                        </w:tblPrEx>
                        <w:trPr>
                          <w:trHeight w:val="524" w:hRule="atLeast"/>
                        </w:trPr>
                        <w:tc>
                          <w:tcPr>
                            <w:tcW w:type="dxa" w:w="1505"/>
                            <w:gridSpan w:val="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Test Fabric</w:t>
                            </w:r>
                          </w:p>
                        </w:tc>
                        <w:tc>
                          <w:tcPr>
                            <w:tcW w:type="dxa" w:w="2651"/>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b w:val="1"/>
                                <w:bCs w:val="1"/>
                                <w:sz w:val="20"/>
                                <w:szCs w:val="20"/>
                                <w:rtl w:val="0"/>
                              </w:rPr>
                              <w:t>Contact Angle (</w:t>
                            </w:r>
                            <w:r>
                              <w:rPr>
                                <w:rFonts w:ascii="TH Sarabun New" w:hAnsi="TH Sarabun New" w:hint="default"/>
                                <w:b w:val="1"/>
                                <w:bCs w:val="1"/>
                                <w:sz w:val="20"/>
                                <w:szCs w:val="20"/>
                                <w:rtl w:val="0"/>
                              </w:rPr>
                              <w:t>°</w:t>
                            </w:r>
                            <w:r>
                              <w:rPr>
                                <w:rFonts w:ascii="TH Sarabun New" w:hAnsi="TH Sarabun New"/>
                                <w:b w:val="1"/>
                                <w:bCs w:val="1"/>
                                <w:sz w:val="20"/>
                                <w:szCs w:val="20"/>
                                <w:rtl w:val="0"/>
                              </w:rPr>
                              <w:t>) / Washing Cycle (No.)</w:t>
                            </w:r>
                          </w:p>
                        </w:tc>
                      </w:tr>
                      <w:tr>
                        <w:tblPrEx>
                          <w:shd w:val="clear" w:color="auto" w:fill="000000"/>
                        </w:tblPrEx>
                        <w:trPr>
                          <w:trHeight w:val="382" w:hRule="atLeast"/>
                        </w:trPr>
                        <w:tc>
                          <w:tcPr>
                            <w:tcW w:type="dxa" w:w="1505"/>
                            <w:gridSpan w:val="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5</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10</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15</w:t>
                            </w:r>
                          </w:p>
                        </w:tc>
                      </w:tr>
                      <w:tr>
                        <w:tblPrEx>
                          <w:shd w:val="clear" w:color="auto" w:fill="000000"/>
                        </w:tblPrEx>
                        <w:trPr>
                          <w:trHeight w:val="524" w:hRule="atLeast"/>
                        </w:trPr>
                        <w:tc>
                          <w:tcPr>
                            <w:tcW w:type="dxa" w:w="150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Control Fabric </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after="213" w:line="240" w:lineRule="auto"/>
                              <w:jc w:val="center"/>
                            </w:pPr>
                            <w:r>
                              <w:rPr>
                                <w:rFonts w:ascii="TH Sarabun New" w:hAnsi="TH Sarabun New"/>
                                <w:sz w:val="20"/>
                                <w:szCs w:val="20"/>
                                <w:rtl w:val="0"/>
                              </w:rPr>
                              <w:t xml:space="preserve">64.30    </w:t>
                            </w:r>
                            <w:r>
                              <w:rPr>
                                <w:rFonts w:ascii="TH Sarabun New" w:hAnsi="TH Sarabun New" w:hint="default"/>
                                <w:sz w:val="20"/>
                                <w:szCs w:val="20"/>
                                <w:rtl w:val="0"/>
                              </w:rPr>
                              <w:t xml:space="preserve">± </w:t>
                            </w:r>
                            <w:r>
                              <w:rPr>
                                <w:rFonts w:ascii="TH Sarabun New" w:hAnsi="TH Sarabun New"/>
                                <w:sz w:val="20"/>
                                <w:szCs w:val="20"/>
                                <w:rtl w:val="0"/>
                              </w:rPr>
                              <w:t>2.65</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sz w:val="20"/>
                                <w:szCs w:val="20"/>
                                <w:rtl w:val="0"/>
                              </w:rPr>
                              <w:t xml:space="preserve">63.75    </w:t>
                            </w:r>
                            <w:r>
                              <w:rPr>
                                <w:rFonts w:ascii="TH Sarabun New" w:hAnsi="TH Sarabun New" w:hint="default"/>
                                <w:sz w:val="20"/>
                                <w:szCs w:val="20"/>
                                <w:rtl w:val="0"/>
                              </w:rPr>
                              <w:t xml:space="preserve">± </w:t>
                            </w:r>
                            <w:r>
                              <w:rPr>
                                <w:rFonts w:ascii="TH Sarabun New" w:hAnsi="TH Sarabun New"/>
                                <w:sz w:val="20"/>
                                <w:szCs w:val="20"/>
                                <w:rtl w:val="0"/>
                              </w:rPr>
                              <w:t>1.00</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sz w:val="20"/>
                                <w:szCs w:val="20"/>
                                <w:rtl w:val="0"/>
                              </w:rPr>
                              <w:t xml:space="preserve">64.67  </w:t>
                            </w:r>
                            <w:r>
                              <w:rPr>
                                <w:rFonts w:ascii="TH Sarabun New" w:hAnsi="TH Sarabun New" w:hint="default"/>
                                <w:sz w:val="20"/>
                                <w:szCs w:val="20"/>
                                <w:rtl w:val="0"/>
                              </w:rPr>
                              <w:t xml:space="preserve">± </w:t>
                            </w:r>
                            <w:r>
                              <w:rPr>
                                <w:rFonts w:ascii="TH Sarabun New" w:hAnsi="TH Sarabun New"/>
                                <w:sz w:val="20"/>
                                <w:szCs w:val="20"/>
                                <w:rtl w:val="0"/>
                              </w:rPr>
                              <w:t>1.53</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sz w:val="20"/>
                                <w:szCs w:val="20"/>
                                <w:rtl w:val="0"/>
                              </w:rPr>
                              <w:t xml:space="preserve">62.25   </w:t>
                            </w:r>
                            <w:r>
                              <w:rPr>
                                <w:rFonts w:ascii="TH Sarabun New" w:hAnsi="TH Sarabun New" w:hint="default"/>
                                <w:sz w:val="20"/>
                                <w:szCs w:val="20"/>
                                <w:rtl w:val="0"/>
                              </w:rPr>
                              <w:t xml:space="preserve">± </w:t>
                            </w:r>
                            <w:r>
                              <w:rPr>
                                <w:rFonts w:ascii="TH Sarabun New" w:hAnsi="TH Sarabun New"/>
                                <w:sz w:val="20"/>
                                <w:szCs w:val="20"/>
                                <w:rtl w:val="0"/>
                              </w:rPr>
                              <w:t>1.00</w:t>
                            </w:r>
                          </w:p>
                        </w:tc>
                      </w:tr>
                      <w:tr>
                        <w:tblPrEx>
                          <w:shd w:val="clear" w:color="auto" w:fill="000000"/>
                        </w:tblPrEx>
                        <w:trPr>
                          <w:trHeight w:val="524" w:hRule="atLeast"/>
                        </w:trPr>
                        <w:tc>
                          <w:tcPr>
                            <w:tcW w:type="dxa" w:w="73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ZnO-Nps-Green</w:t>
                            </w:r>
                          </w:p>
                        </w:tc>
                        <w:tc>
                          <w:tcPr>
                            <w:tcW w:type="dxa" w:w="7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dip-coating</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92.33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1.15</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144"/>
                              <w:bottom w:type="dxa" w:w="0"/>
                              <w:right w:type="dxa" w:w="144"/>
                            </w:tcMar>
                            <w:vAlign w:val="center"/>
                          </w:tcPr>
                          <w:p>
                            <w:pPr>
                              <w:keepNext w:val="0"/>
                              <w:keepLines w:val="0"/>
                              <w:pageBreakBefore w:val="0"/>
                              <w:widowControl w:val="1"/>
                              <w:shd w:val="clear" w:color="auto" w:fill="auto"/>
                              <w:suppressAutoHyphens w:val="1"/>
                              <w:bidi w:val="0"/>
                              <w:spacing w:before="0" w:after="213"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76.9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1.83</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74.73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3.50</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66.13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2.42</w:t>
                            </w:r>
                          </w:p>
                        </w:tc>
                      </w:tr>
                      <w:tr>
                        <w:tblPrEx>
                          <w:shd w:val="clear" w:color="auto" w:fill="000000"/>
                        </w:tblPrEx>
                        <w:trPr>
                          <w:trHeight w:val="524" w:hRule="atLeast"/>
                        </w:trPr>
                        <w:tc>
                          <w:tcPr>
                            <w:tcW w:type="dxa" w:w="73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7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spraying</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101.17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2.35</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144"/>
                              <w:bottom w:type="dxa" w:w="0"/>
                              <w:right w:type="dxa" w:w="144"/>
                            </w:tcMar>
                            <w:vAlign w:val="center"/>
                          </w:tcPr>
                          <w:p>
                            <w:pPr>
                              <w:keepNext w:val="0"/>
                              <w:keepLines w:val="0"/>
                              <w:pageBreakBefore w:val="0"/>
                              <w:widowControl w:val="1"/>
                              <w:shd w:val="clear" w:color="auto" w:fill="auto"/>
                              <w:suppressAutoHyphens w:val="1"/>
                              <w:bidi w:val="0"/>
                              <w:spacing w:before="0" w:after="213"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80.57</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2.25</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76.10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1.85</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74.00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1.20</w:t>
                            </w:r>
                          </w:p>
                        </w:tc>
                      </w:tr>
                      <w:tr>
                        <w:tblPrEx>
                          <w:shd w:val="clear" w:color="auto" w:fill="000000"/>
                        </w:tblPrEx>
                        <w:trPr>
                          <w:trHeight w:val="524" w:hRule="atLeast"/>
                        </w:trPr>
                        <w:tc>
                          <w:tcPr>
                            <w:tcW w:type="dxa" w:w="73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ZnO-Nps-Sol-Gel</w:t>
                            </w:r>
                          </w:p>
                        </w:tc>
                        <w:tc>
                          <w:tcPr>
                            <w:tcW w:type="dxa" w:w="7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dip-coating</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86.30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2.98</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81.50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4.76</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77.60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1.31</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76.80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0.36</w:t>
                            </w:r>
                          </w:p>
                        </w:tc>
                      </w:tr>
                      <w:tr>
                        <w:tblPrEx>
                          <w:shd w:val="clear" w:color="auto" w:fill="000000"/>
                        </w:tblPrEx>
                        <w:trPr>
                          <w:trHeight w:val="524" w:hRule="atLeast"/>
                        </w:trPr>
                        <w:tc>
                          <w:tcPr>
                            <w:tcW w:type="dxa" w:w="73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77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spraying</w:t>
                            </w:r>
                          </w:p>
                        </w:tc>
                        <w:tc>
                          <w:tcPr>
                            <w:tcW w:type="dxa" w:w="6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101.87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0.80</w:t>
                            </w:r>
                          </w:p>
                        </w:tc>
                        <w:tc>
                          <w:tcPr>
                            <w:tcW w:type="dxa" w:w="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87.93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0.31</w:t>
                            </w:r>
                          </w:p>
                        </w:tc>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85.37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0.90</w:t>
                            </w:r>
                          </w:p>
                        </w:tc>
                        <w:tc>
                          <w:tcPr>
                            <w:tcW w:type="dxa" w:w="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79.23 </w:t>
                            </w:r>
                            <w:r>
                              <w:rPr>
                                <w:rFonts w:ascii="TH Sarabun New" w:cs="Arial Unicode MS" w:hAnsi="TH Sarabun New" w:eastAsia="Arial Unicode MS" w:hint="default"/>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 xml:space="preserve">± </w:t>
                            </w: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1.80</w:t>
                            </w:r>
                          </w:p>
                        </w:tc>
                      </w:tr>
                    </w:tbl>
                  </w:txbxContent>
                </v:textbox>
                <w10:wrap type="through" side="bothSides" anchorx="page" anchory="page"/>
              </v:shape>
            </w:pict>
          </mc:Fallback>
        </mc:AlternateContent>
      </w:r>
      <w:r>
        <w:rPr>
          <w:rFonts w:ascii="TH Sarabun New" w:hAnsi="TH Sarabun New"/>
          <w:sz w:val="28"/>
          <w:szCs w:val="28"/>
          <w:rtl w:val="0"/>
          <w:lang w:val="en-US"/>
        </w:rPr>
        <w:t>anced hydrophobicity is attributed to the small, spherical nanoparticles creating a high surface roughness, which traps air and minimizes the solid-liquid contact area (Cassie-Baxter state). Additionally, spray coating proved superior to dip coating, likely due to a more uniform and dense particle distribution, resulting in better durability and adhesion on the fabric surface.</w:t>
      </w:r>
    </w:p>
    <w:p>
      <w:pPr>
        <w:pStyle w:val="เนื้อหา"/>
        <w:spacing w:after="0" w:line="240" w:lineRule="auto"/>
        <w:jc w:val="both"/>
        <w:rPr>
          <w:rFonts w:ascii="TH SarabunPSK" w:cs="TH SarabunPSK" w:hAnsi="TH SarabunPSK" w:eastAsia="TH SarabunPSK"/>
          <w:b w:val="1"/>
          <w:bCs w:val="1"/>
          <w:sz w:val="28"/>
          <w:szCs w:val="28"/>
          <w:lang w:val="en-US"/>
        </w:rPr>
      </w:pPr>
      <w:r>
        <w:rPr>
          <w:rFonts w:ascii="TH Sarabun New" w:hAnsi="TH Sarabun New"/>
          <w:b w:val="1"/>
          <w:bCs w:val="1"/>
          <w:sz w:val="28"/>
          <w:szCs w:val="28"/>
          <w:rtl w:val="0"/>
          <w:lang w:val="fr-FR"/>
        </w:rPr>
        <w:t>Table 1</w:t>
      </w:r>
      <w:r>
        <w:rPr>
          <w:rFonts w:ascii="TH Sarabun New" w:hAnsi="TH Sarabun New"/>
          <w:b w:val="1"/>
          <w:bCs w:val="1"/>
          <w:sz w:val="28"/>
          <w:szCs w:val="28"/>
          <w:rtl w:val="0"/>
          <w:lang w:val="en-US"/>
        </w:rPr>
        <w:t xml:space="preserve"> </w:t>
      </w:r>
      <w:r>
        <w:rPr>
          <w:rFonts w:ascii="TH Sarabun New" w:hAnsi="TH Sarabun New"/>
          <w:sz w:val="28"/>
          <w:szCs w:val="28"/>
          <w:rtl w:val="0"/>
          <w:lang w:val="en-US"/>
        </w:rPr>
        <w:t>Comparison of water contact angle values of ZnO-coated fabric synthesized via green</w:t>
      </w:r>
      <w:r>
        <w:rPr>
          <w:rFonts w:ascii="TH Sarabun New" w:hAnsi="TH Sarabun New"/>
          <w:sz w:val="28"/>
          <w:szCs w:val="28"/>
          <w:rtl w:val="0"/>
          <w:lang w:val="en-US"/>
        </w:rPr>
        <w:t xml:space="preserve"> </w:t>
      </w:r>
      <w:r>
        <w:rPr>
          <w:rFonts w:ascii="TH Sarabun New" w:hAnsi="TH Sarabun New"/>
          <w:sz w:val="28"/>
          <w:szCs w:val="28"/>
          <w:rtl w:val="0"/>
          <w:lang w:val="en-US"/>
        </w:rPr>
        <w:t>and sol-gel methods</w:t>
      </w:r>
      <w:r>
        <w:rPr>
          <w:rFonts w:ascii="TH Sarabun New" w:hAnsi="TH Sarabun New"/>
          <w:sz w:val="28"/>
          <w:szCs w:val="28"/>
          <w:rtl w:val="0"/>
          <w:lang w:val="en-US"/>
        </w:rPr>
        <w:t xml:space="preserve"> after 15 washes</w:t>
      </w:r>
      <w:r>
        <w:rPr>
          <w:rFonts w:ascii="TH SarabunPSK" w:hAnsi="TH SarabunPSK"/>
          <w:sz w:val="28"/>
          <w:szCs w:val="28"/>
          <w:rtl w:val="0"/>
          <w:lang w:val="en-US"/>
        </w:rPr>
        <w:t>.</w:t>
      </w:r>
      <w:r>
        <w:rPr>
          <w:rFonts w:ascii="TH SarabunPSK" w:cs="TH SarabunPSK" w:hAnsi="TH SarabunPSK" w:eastAsia="TH SarabunPSK"/>
          <w:sz w:val="28"/>
          <w:szCs w:val="28"/>
        </w:rPr>
        <w:br w:type="textWrapping"/>
      </w:r>
      <w:r>
        <w:rPr>
          <w:rFonts w:ascii="TH SarabunPSK" w:hAnsi="TH SarabunPSK"/>
          <w:b w:val="1"/>
          <w:bCs w:val="1"/>
          <w:sz w:val="28"/>
          <w:szCs w:val="28"/>
          <w:rtl w:val="0"/>
          <w:lang w:val="en-US"/>
        </w:rPr>
        <w:t>3)</w:t>
      </w:r>
      <w:r>
        <w:rPr>
          <w:rFonts w:ascii="TH SarabunPSK" w:hAnsi="TH SarabunPSK"/>
          <w:b w:val="1"/>
          <w:bCs w:val="1"/>
          <w:sz w:val="28"/>
          <w:szCs w:val="28"/>
          <w:rtl w:val="0"/>
          <w:lang w:val="en-US"/>
        </w:rPr>
        <w:t xml:space="preserve"> </w:t>
      </w:r>
      <w:r>
        <w:rPr>
          <w:rFonts w:ascii="TH SarabunPSK" w:hAnsi="TH SarabunPSK"/>
          <w:b w:val="1"/>
          <w:bCs w:val="1"/>
          <w:sz w:val="28"/>
          <w:szCs w:val="28"/>
          <w:rtl w:val="0"/>
          <w:lang w:val="en-US"/>
        </w:rPr>
        <w:t>Photocatalytic Performance against Methylene Blue</w:t>
      </w:r>
    </w:p>
    <w:p>
      <w:pPr>
        <w:pStyle w:val="เนื้อหา"/>
        <w:spacing w:after="0" w:line="240" w:lineRule="auto"/>
        <w:jc w:val="both"/>
        <w:rPr>
          <w:rFonts w:ascii="TH SarabunPSK" w:cs="TH SarabunPSK" w:hAnsi="TH SarabunPSK" w:eastAsia="TH SarabunPSK"/>
          <w:sz w:val="28"/>
          <w:szCs w:val="28"/>
          <w:lang w:val="en-US"/>
        </w:rPr>
      </w:pPr>
      <w:r>
        <w:rPr>
          <w:rFonts w:ascii="TH SarabunPSK" w:cs="TH SarabunPSK" w:hAnsi="TH SarabunPSK" w:eastAsia="TH SarabunPSK"/>
          <w:b w:val="1"/>
          <w:bCs w:val="1"/>
          <w:sz w:val="28"/>
          <w:szCs w:val="28"/>
          <w:lang w:val="en-US"/>
        </w:rPr>
        <w:tab/>
      </w:r>
      <w:r>
        <w:rPr>
          <w:rFonts w:ascii="TH SarabunPSK" w:hAnsi="TH SarabunPSK"/>
          <w:sz w:val="28"/>
          <w:szCs w:val="28"/>
          <w:rtl w:val="0"/>
          <w:lang w:val="en-US"/>
        </w:rPr>
        <w:t>The photocatalytic efficiency of the synthesized nanoparticles was evaluated through the degradation of Methylene Blue (MB) dye under UV irradiation. The results indicated that both synthesized ZnO NPs possessed significantly higher catalytic activity than commercial ZnO. The sol</w:t>
      </w:r>
      <w:r>
        <w:rPr>
          <w:rFonts w:ascii="TH SarabunPSK" w:hAnsi="TH SarabunPSK" w:hint="default"/>
          <w:sz w:val="28"/>
          <w:szCs w:val="28"/>
          <w:rtl w:val="0"/>
          <w:lang w:val="en-US"/>
        </w:rPr>
        <w:t>–</w:t>
      </w:r>
      <w:r>
        <w:rPr>
          <w:rFonts w:ascii="TH SarabunPSK" w:hAnsi="TH SarabunPSK"/>
          <w:sz w:val="28"/>
          <w:szCs w:val="28"/>
          <w:rtl w:val="0"/>
          <w:lang w:val="en-US"/>
        </w:rPr>
        <w:t>gel synthesized ZnO NPs demonstrated the highest efficiency, with a degradation rate of 56.50%, while the green-synthesized ZnO NPs achieved 40.58%. The superior performance of the sol</w:t>
      </w:r>
      <w:r>
        <w:rPr>
          <w:rFonts w:ascii="TH SarabunPSK" w:hAnsi="TH SarabunPSK" w:hint="default"/>
          <w:sz w:val="28"/>
          <w:szCs w:val="28"/>
          <w:rtl w:val="0"/>
          <w:lang w:val="en-US"/>
        </w:rPr>
        <w:t>–</w:t>
      </w:r>
      <w:r>
        <w:rPr>
          <w:rFonts w:ascii="TH SarabunPSK" w:hAnsi="TH SarabunPSK"/>
          <w:sz w:val="28"/>
          <w:szCs w:val="28"/>
          <w:rtl w:val="0"/>
          <w:lang w:val="en-US"/>
        </w:rPr>
        <w:t>gel particles is directly linked to their smaller size (5</w:t>
      </w:r>
      <w:r>
        <w:rPr>
          <w:rFonts w:ascii="TH SarabunPSK" w:hAnsi="TH SarabunPSK" w:hint="default"/>
          <w:sz w:val="28"/>
          <w:szCs w:val="28"/>
          <w:rtl w:val="0"/>
          <w:lang w:val="en-US"/>
        </w:rPr>
        <w:t>–</w:t>
      </w:r>
      <w:r>
        <w:rPr>
          <w:rFonts w:ascii="TH SarabunPSK" w:hAnsi="TH SarabunPSK"/>
          <w:sz w:val="28"/>
          <w:szCs w:val="28"/>
          <w:rtl w:val="0"/>
          <w:lang w:val="en-US"/>
        </w:rPr>
        <w:t>20 nm) as observed in the TEM analysis. This smaller size provides a substantially larger surface-area-to-volume ratio, increasing the number of active sites available for light absorption and the generation of reactive oxygen species. Consequently, this leads to a more rapid and effective breakdown of the organic dye molecules compared to the larger rod-shaped particles.</w:t>
      </w:r>
    </w:p>
    <w:p>
      <w:pPr>
        <w:pStyle w:val="เนื้อหา"/>
        <w:spacing w:after="0" w:line="240" w:lineRule="auto"/>
        <w:jc w:val="both"/>
        <w:rPr>
          <w:rFonts w:ascii="TH SarabunPSK" w:cs="TH SarabunPSK" w:hAnsi="TH SarabunPSK" w:eastAsia="TH SarabunPSK"/>
          <w:b w:val="0"/>
          <w:bCs w:val="0"/>
          <w:sz w:val="28"/>
          <w:szCs w:val="28"/>
        </w:rPr>
      </w:pPr>
      <w:r>
        <w:rPr>
          <w:rFonts w:ascii="TH SarabunPSK" w:hAnsi="TH SarabunPSK"/>
          <w:b w:val="1"/>
          <w:bCs w:val="1"/>
          <w:sz w:val="28"/>
          <w:szCs w:val="28"/>
          <w:rtl w:val="0"/>
          <w:lang w:val="en-US"/>
        </w:rPr>
        <w:t xml:space="preserve">Table 2 </w:t>
      </w:r>
      <w:r>
        <w:rPr>
          <w:rFonts w:ascii="TH SarabunPSK" w:hAnsi="TH SarabunPSK"/>
          <w:b w:val="0"/>
          <w:bCs w:val="0"/>
          <w:sz w:val="28"/>
          <w:szCs w:val="28"/>
          <w:rtl w:val="0"/>
          <w:lang w:val="en-US"/>
        </w:rPr>
        <w:t>Methylene Blue degradation efficiency of zinc oxide nanoparticles synthesized by different methods under UV light every 30 minutes for 150 minutes.</w:t>
      </w:r>
    </w:p>
    <w:p>
      <w:pPr>
        <w:pStyle w:val="No Spacing"/>
        <w:rPr>
          <w:rFonts w:ascii="TH SarabunPSK" w:cs="TH SarabunPSK" w:hAnsi="TH SarabunPSK" w:eastAsia="TH SarabunPSK"/>
          <w:sz w:val="32"/>
          <w:szCs w:val="32"/>
        </w:rPr>
      </w:pPr>
      <w:r>
        <w:rPr>
          <w:rFonts w:ascii="TH SarabunPSK" w:hAnsi="TH SarabunPSK"/>
          <w:outline w:val="0"/>
          <w:color w:val="0000ff"/>
          <w:u w:color="0000ff"/>
          <w:rtl w:val="0"/>
          <w:lang w:val="en-US"/>
          <w14:textFill>
            <w14:solidFill>
              <w14:srgbClr w14:val="0000FF"/>
            </w14:solidFill>
          </w14:textFill>
        </w:rPr>
        <w:t xml:space="preserve"> </w:t>
      </w:r>
    </w:p>
    <w:p>
      <w:pPr>
        <w:pStyle w:val="เนื้อหา"/>
        <w:spacing w:after="0" w:line="240" w:lineRule="auto"/>
        <w:jc w:val="both"/>
        <w:rPr>
          <w:rFonts w:ascii="TH SarabunPSK" w:cs="TH SarabunPSK" w:hAnsi="TH SarabunPSK" w:eastAsia="TH SarabunPSK"/>
          <w:b w:val="1"/>
          <w:bCs w:val="1"/>
          <w:sz w:val="28"/>
          <w:szCs w:val="28"/>
        </w:rPr>
      </w:pPr>
      <w:r>
        <w:rPr>
          <w:rFonts w:ascii="TH SarabunPSK" w:hAnsi="TH SarabunPSK"/>
          <w:b w:val="1"/>
          <w:bCs w:val="1"/>
          <w:sz w:val="28"/>
          <w:szCs w:val="28"/>
          <w:rtl w:val="0"/>
          <w:lang w:val="fr-FR"/>
        </w:rPr>
        <w:t>Conclusions</w:t>
      </w:r>
    </w:p>
    <w:p>
      <w:pPr>
        <w:pStyle w:val="เนื้อหา"/>
        <w:spacing w:after="0" w:line="240" w:lineRule="auto"/>
        <w:jc w:val="both"/>
        <w:rPr>
          <w:rFonts w:ascii="TH SarabunPSK" w:cs="TH SarabunPSK" w:hAnsi="TH SarabunPSK" w:eastAsia="TH SarabunPSK"/>
          <w:sz w:val="28"/>
          <w:szCs w:val="28"/>
        </w:rPr>
      </w:pPr>
      <w:r>
        <w:rPr>
          <w:rFonts w:ascii="TH SarabunPSK" w:cs="TH SarabunPSK" w:hAnsi="TH SarabunPSK" w:eastAsia="TH SarabunPSK"/>
          <w:b w:val="1"/>
          <w:bCs w:val="1"/>
          <w:sz w:val="28"/>
          <w:szCs w:val="28"/>
        </w:rPr>
        <w:tab/>
      </w:r>
      <w:r>
        <w:rPr>
          <w:rFonts w:ascii="TH SarabunPSK" w:hAnsi="TH SarabunPSK"/>
          <w:sz w:val="28"/>
          <w:szCs w:val="28"/>
          <w:rtl w:val="0"/>
          <w:lang w:val="en-US"/>
        </w:rPr>
        <w:t>This study successfully demonstrated the synthesis of Zinc Oxide Nanoparticles (ZnO NPs) using both green chemistry and sol</w:t>
      </w:r>
      <w:r>
        <w:rPr>
          <w:rFonts w:ascii="TH SarabunPSK" w:hAnsi="TH SarabunPSK" w:hint="default"/>
          <w:sz w:val="28"/>
          <w:szCs w:val="28"/>
          <w:rtl w:val="0"/>
        </w:rPr>
        <w:t>–</w:t>
      </w:r>
      <w:r>
        <w:rPr>
          <w:rFonts w:ascii="TH SarabunPSK" w:hAnsi="TH SarabunPSK"/>
          <w:sz w:val="28"/>
          <w:szCs w:val="28"/>
          <w:rtl w:val="0"/>
          <w:lang w:val="en-US"/>
        </w:rPr>
        <w:t>gel methods, each yielding distinct morphological characteristics. The green synthesis produced rod-shaped particles (100</w:t>
      </w:r>
      <w:r>
        <w:rPr>
          <w:rFonts w:ascii="TH SarabunPSK" w:hAnsi="TH SarabunPSK" w:hint="default"/>
          <w:sz w:val="28"/>
          <w:szCs w:val="28"/>
          <w:rtl w:val="0"/>
        </w:rPr>
        <w:t>–</w:t>
      </w:r>
      <w:r>
        <w:rPr>
          <w:rFonts w:ascii="TH SarabunPSK" w:hAnsi="TH SarabunPSK"/>
          <w:sz w:val="28"/>
          <w:szCs w:val="28"/>
          <w:rtl w:val="0"/>
          <w:lang w:val="en-US"/>
        </w:rPr>
        <w:t>150 nm), while the sol</w:t>
      </w:r>
      <w:r>
        <w:rPr>
          <w:rFonts w:ascii="TH SarabunPSK" w:hAnsi="TH SarabunPSK" w:hint="default"/>
          <w:sz w:val="28"/>
          <w:szCs w:val="28"/>
          <w:rtl w:val="0"/>
        </w:rPr>
        <w:t>–</w:t>
      </w:r>
      <w:r>
        <w:rPr>
          <w:rFonts w:ascii="TH SarabunPSK" w:hAnsi="TH SarabunPSK"/>
          <w:sz w:val="28"/>
          <w:szCs w:val="28"/>
          <w:rtl w:val="0"/>
          <w:lang w:val="en-US"/>
        </w:rPr>
        <w:t>gel method resulted in significantly smaller, spherical particles (5</w:t>
      </w:r>
      <w:r>
        <w:rPr>
          <w:rFonts w:ascii="TH SarabunPSK" w:hAnsi="TH SarabunPSK" w:hint="default"/>
          <w:sz w:val="28"/>
          <w:szCs w:val="28"/>
          <w:rtl w:val="0"/>
        </w:rPr>
        <w:t>–</w:t>
      </w:r>
      <w:r>
        <w:rPr>
          <w:rFonts w:ascii="TH SarabunPSK" w:hAnsi="TH SarabunPSK"/>
          <w:sz w:val="28"/>
          <w:szCs w:val="28"/>
          <w:rtl w:val="0"/>
        </w:rPr>
        <w:t>20 nm).</w:t>
      </w:r>
    </w:p>
    <w:p>
      <w:pPr>
        <w:pStyle w:val="เนื้อหา"/>
        <w:spacing w:after="0" w:line="240" w:lineRule="auto"/>
        <w:jc w:val="both"/>
        <w:rPr>
          <w:rFonts w:ascii="TH SarabunPSK" w:cs="TH SarabunPSK" w:hAnsi="TH SarabunPSK" w:eastAsia="TH SarabunPSK"/>
          <w:sz w:val="28"/>
          <w:szCs w:val="28"/>
        </w:rPr>
      </w:pPr>
      <w:r>
        <w:rPr>
          <w:rFonts w:ascii="TH SarabunPSK" w:cs="TH SarabunPSK" w:hAnsi="TH SarabunPSK" w:eastAsia="TH SarabunPSK"/>
          <w:sz w:val="28"/>
          <w:szCs w:val="28"/>
        </w:rPr>
        <w:tab/>
      </w:r>
      <w:r>
        <w:rPr>
          <w:rFonts w:ascii="TH SarabunPSK" w:hAnsi="TH SarabunPSK"/>
          <w:sz w:val="28"/>
          <w:szCs w:val="28"/>
          <w:rtl w:val="0"/>
          <w:lang w:val="en-US"/>
        </w:rPr>
        <w:t>In textile applications, the sol</w:t>
      </w:r>
      <w:r>
        <w:rPr>
          <w:rFonts w:ascii="TH SarabunPSK" w:hAnsi="TH SarabunPSK" w:hint="default"/>
          <w:sz w:val="28"/>
          <w:szCs w:val="28"/>
          <w:rtl w:val="0"/>
        </w:rPr>
        <w:t>–</w:t>
      </w:r>
      <w:r>
        <w:rPr>
          <w:rFonts w:ascii="TH SarabunPSK" w:hAnsi="TH SarabunPSK"/>
          <w:sz w:val="28"/>
          <w:szCs w:val="28"/>
          <w:rtl w:val="0"/>
          <w:lang w:val="en-US"/>
        </w:rPr>
        <w:t xml:space="preserve">gel synthesized ZnO NPs exhibited superior performance, particularly in enhancing hydrophobicity. Fabrics treated with these particles via spray coating maintained a high water contact angle of 79.23 </w:t>
      </w:r>
      <w:r>
        <w:rPr>
          <w:rFonts w:ascii="TH SarabunPSK" w:hAnsi="TH SarabunPSK" w:hint="default"/>
          <w:sz w:val="28"/>
          <w:szCs w:val="28"/>
          <w:rtl w:val="1"/>
        </w:rPr>
        <w:t xml:space="preserve">± </w:t>
      </w:r>
      <w:r>
        <w:rPr>
          <w:rFonts w:ascii="TH SarabunPSK" w:hAnsi="TH SarabunPSK"/>
          <w:sz w:val="28"/>
          <w:szCs w:val="28"/>
          <w:rtl w:val="0"/>
        </w:rPr>
        <w:t>1.80</w:t>
      </w:r>
      <w:r>
        <w:rPr>
          <w:rFonts w:ascii="TH SarabunPSK" w:hAnsi="TH SarabunPSK" w:hint="default"/>
          <w:sz w:val="28"/>
          <w:szCs w:val="28"/>
          <w:rtl w:val="0"/>
          <w:lang w:val="it-IT"/>
        </w:rPr>
        <w:t xml:space="preserve">° </w:t>
      </w:r>
      <w:r>
        <w:rPr>
          <w:rFonts w:ascii="TH SarabunPSK" w:hAnsi="TH SarabunPSK"/>
          <w:sz w:val="28"/>
          <w:szCs w:val="28"/>
          <w:rtl w:val="0"/>
          <w:lang w:val="en-US"/>
        </w:rPr>
        <w:t>even after 15 washing cycles, outperforming both the green-synthesized and dip-coated samples. Furthermore, both synthesis methods produced nanoparticles with higher photocatalytic activity than commercial ZnO. The sol</w:t>
      </w:r>
      <w:r>
        <w:rPr>
          <w:rFonts w:ascii="TH SarabunPSK" w:hAnsi="TH SarabunPSK" w:hint="default"/>
          <w:sz w:val="28"/>
          <w:szCs w:val="28"/>
          <w:rtl w:val="0"/>
        </w:rPr>
        <w:t>–</w:t>
      </w:r>
      <w:r>
        <w:rPr>
          <w:rFonts w:ascii="TH SarabunPSK" w:hAnsi="TH SarabunPSK"/>
          <w:sz w:val="28"/>
          <w:szCs w:val="28"/>
          <w:rtl w:val="0"/>
          <w:lang w:val="en-US"/>
        </w:rPr>
        <w:t>gel ZnO NPs achieved the highest Methylene Blue degradation efficiency at 56.50%, compared to 40.58% for the green-synthesized version.</w:t>
      </w:r>
    </w:p>
    <w:p>
      <w:pPr>
        <w:pStyle w:val="เนื้อหา"/>
        <w:spacing w:after="0" w:line="240" w:lineRule="auto"/>
        <w:jc w:val="both"/>
        <w:rPr>
          <w:rFonts w:ascii="TH SarabunPSK" w:cs="TH SarabunPSK" w:hAnsi="TH SarabunPSK" w:eastAsia="TH SarabunPSK"/>
          <w:sz w:val="28"/>
          <w:szCs w:val="28"/>
        </w:rPr>
      </w:pPr>
      <w:r>
        <w:rPr>
          <w:rFonts w:ascii="TH SarabunPSK" w:cs="TH SarabunPSK" w:hAnsi="TH SarabunPSK" w:eastAsia="TH SarabunPSK"/>
          <w:sz w:val="28"/>
          <w:szCs w:val="28"/>
        </w:rPr>
        <w:tab/>
      </w:r>
      <w:r>
        <w:rPr>
          <w:rFonts w:ascii="TH SarabunPSK" w:hAnsi="TH SarabunPSK"/>
          <w:sz w:val="28"/>
          <w:szCs w:val="28"/>
          <w:rtl w:val="0"/>
          <w:lang w:val="en-US"/>
        </w:rPr>
        <w:t>These findings suggest that the sol</w:t>
      </w:r>
      <w:r>
        <w:rPr>
          <w:rFonts w:ascii="TH SarabunPSK" w:hAnsi="TH SarabunPSK" w:hint="default"/>
          <w:sz w:val="28"/>
          <w:szCs w:val="28"/>
          <w:rtl w:val="0"/>
        </w:rPr>
        <w:t>–</w:t>
      </w:r>
      <w:r>
        <w:rPr>
          <w:rFonts w:ascii="TH SarabunPSK" w:hAnsi="TH SarabunPSK"/>
          <w:sz w:val="28"/>
          <w:szCs w:val="28"/>
          <w:rtl w:val="0"/>
          <w:lang w:val="en-US"/>
        </w:rPr>
        <w:t xml:space="preserve">gel method is highly effective for producing high-surface-area nanoparticles suitable for multifunctional textiles. Meanwhile, the green synthesis approach offers a viable, eco-friendly alternative with significant </w:t>
      </w:r>
      <w:r>
        <mc:AlternateContent>
          <mc:Choice Requires="wps">
            <w:drawing xmlns:a="http://schemas.openxmlformats.org/drawingml/2006/main">
              <wp:anchor distT="0" distB="0" distL="0" distR="0" simplePos="0" relativeHeight="251661312" behindDoc="0" locked="0" layoutInCell="1" allowOverlap="1">
                <wp:simplePos x="0" y="0"/>
                <wp:positionH relativeFrom="page">
                  <wp:posOffset>1073234</wp:posOffset>
                </wp:positionH>
                <wp:positionV relativeFrom="page">
                  <wp:posOffset>3646837</wp:posOffset>
                </wp:positionV>
                <wp:extent cx="2649689" cy="1487170"/>
                <wp:effectExtent l="0" t="0" r="0" b="0"/>
                <wp:wrapThrough wrapText="bothSides" distL="0" distR="0">
                  <wp:wrapPolygon edited="1">
                    <wp:start x="-207" y="-369"/>
                    <wp:lineTo x="21741" y="-369"/>
                    <wp:lineTo x="21741" y="21766"/>
                    <wp:lineTo x="-207" y="21766"/>
                    <wp:lineTo x="-207" y="-369"/>
                  </wp:wrapPolygon>
                </wp:wrapThrough>
                <wp:docPr id="1073741838" name="officeArt object"/>
                <wp:cNvGraphicFramePr/>
                <a:graphic xmlns:a="http://schemas.openxmlformats.org/drawingml/2006/main">
                  <a:graphicData uri="http://schemas.microsoft.com/office/word/2010/wordprocessingShape">
                    <wps:wsp>
                      <wps:cNvSpPr/>
                      <wps:spPr>
                        <a:xfrm>
                          <a:off x="0" y="0"/>
                          <a:ext cx="2649689" cy="1487170"/>
                        </a:xfrm>
                        <a:prstGeom prst="rect">
                          <a:avLst/>
                        </a:prstGeom>
                      </wps:spPr>
                      <wps:txbx>
                        <w:txbxContent>
                          <w:tbl>
                            <w:tblPr>
                              <w:tblW w:w="4162" w:type="dxa"/>
                              <w:tblInd w:w="5"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000000"/>
                              <w:tblLayout w:type="fixed"/>
                            </w:tblPr>
                            <w:tblGrid>
                              <w:gridCol w:w="1273"/>
                              <w:gridCol w:w="729"/>
                              <w:gridCol w:w="699"/>
                              <w:gridCol w:w="733"/>
                              <w:gridCol w:w="728"/>
                            </w:tblGrid>
                            <w:tr>
                              <w:tblPrEx>
                                <w:shd w:val="clear" w:color="auto" w:fill="000000"/>
                              </w:tblPrEx>
                              <w:trPr>
                                <w:trHeight w:val="524" w:hRule="atLeast"/>
                              </w:trPr>
                              <w:tc>
                                <w:tcPr>
                                  <w:tcW w:type="dxa" w:w="127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Type of ZnO Nanoparticles</w:t>
                                  </w:r>
                                </w:p>
                              </w:tc>
                              <w:tc>
                                <w:tcPr>
                                  <w:tcW w:type="dxa" w:w="288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b w:val="1"/>
                                      <w:bCs w:val="1"/>
                                      <w:sz w:val="20"/>
                                      <w:szCs w:val="20"/>
                                      <w:rtl w:val="0"/>
                                    </w:rPr>
                                    <w:t>% Degradationat a Specific Time Duration Under UV Light (minutes)</w:t>
                                  </w:r>
                                </w:p>
                              </w:tc>
                            </w:tr>
                            <w:tr>
                              <w:tblPrEx>
                                <w:shd w:val="clear" w:color="auto" w:fill="000000"/>
                              </w:tblPrEx>
                              <w:trPr>
                                <w:trHeight w:val="452" w:hRule="atLeast"/>
                              </w:trPr>
                              <w:tc>
                                <w:tcPr>
                                  <w:tcW w:type="dxa" w:w="127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30</w:t>
                                  </w:r>
                                </w:p>
                              </w:tc>
                              <w:tc>
                                <w:tcPr>
                                  <w:tcW w:type="dxa" w:w="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90</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120</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150</w:t>
                                  </w:r>
                                </w:p>
                              </w:tc>
                            </w:tr>
                            <w:tr>
                              <w:tblPrEx>
                                <w:shd w:val="clear" w:color="auto" w:fill="000000"/>
                              </w:tblPrEx>
                              <w:trPr>
                                <w:trHeight w:val="452" w:hRule="atLeast"/>
                              </w:trPr>
                              <w:tc>
                                <w:tcPr>
                                  <w:tcW w:type="dxa" w:w="12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Commercial ZnO</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15.86</w:t>
                                  </w:r>
                                </w:p>
                              </w:tc>
                              <w:tc>
                                <w:tcPr>
                                  <w:tcW w:type="dxa" w:w="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26.50</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37.52</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40.03</w:t>
                                  </w:r>
                                </w:p>
                              </w:tc>
                            </w:tr>
                            <w:tr>
                              <w:tblPrEx>
                                <w:shd w:val="clear" w:color="auto" w:fill="000000"/>
                              </w:tblPrEx>
                              <w:trPr>
                                <w:trHeight w:val="452" w:hRule="atLeast"/>
                              </w:trPr>
                              <w:tc>
                                <w:tcPr>
                                  <w:tcW w:type="dxa" w:w="12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ZnO-Green</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16.66</w:t>
                                  </w:r>
                                </w:p>
                              </w:tc>
                              <w:tc>
                                <w:tcPr>
                                  <w:tcW w:type="dxa" w:w="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23.19</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28.62</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40.58</w:t>
                                  </w:r>
                                </w:p>
                              </w:tc>
                            </w:tr>
                            <w:tr>
                              <w:tblPrEx>
                                <w:shd w:val="clear" w:color="auto" w:fill="000000"/>
                              </w:tblPrEx>
                              <w:trPr>
                                <w:trHeight w:val="452" w:hRule="atLeast"/>
                              </w:trPr>
                              <w:tc>
                                <w:tcPr>
                                  <w:tcW w:type="dxa" w:w="12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ZnO-Sol Gel</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32.17</w:t>
                                  </w:r>
                                </w:p>
                              </w:tc>
                              <w:tc>
                                <w:tcPr>
                                  <w:tcW w:type="dxa" w:w="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41.16</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50.30</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56.50</w:t>
                                  </w:r>
                                </w:p>
                              </w:tc>
                            </w:tr>
                          </w:tbl>
                        </w:txbxContent>
                      </wps:txbx>
                      <wps:bodyPr lIns="0" tIns="0" rIns="0" bIns="0">
                        <a:spAutoFit/>
                      </wps:bodyPr>
                    </wps:wsp>
                  </a:graphicData>
                </a:graphic>
              </wp:anchor>
            </w:drawing>
          </mc:Choice>
          <mc:Fallback>
            <w:pict>
              <v:shape id="_x0000_s1037" type="#_x0000_t202" style="visibility:visible;position:absolute;margin-left:84.5pt;margin-top:287.2pt;width:208.6pt;height:117.1pt;z-index:251661312;mso-position-horizontal:absolute;mso-position-horizontal-relative:page;mso-position-vertical:absolute;mso-position-vertical-relative:page;mso-wrap-distance-left:0.0pt;mso-wrap-distance-top:0.0pt;mso-wrap-distance-right:0.0pt;mso-wrap-distance-bottom:0.0pt;">
                <v:fill on="f"/>
                <v:stroke on="f" weight="0.8pt" dashstyle="solid" endcap="flat" joinstyle="round" linestyle="single" startarrow="none" startarrowwidth="medium" startarrowlength="medium" endarrow="none" endarrowwidth="medium" endarrowlength="medium"/>
                <v:textbox>
                  <w:txbxContent>
                    <w:tbl>
                      <w:tblPr>
                        <w:tblW w:w="4162" w:type="dxa"/>
                        <w:tblInd w:w="5"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000000"/>
                        <w:tblLayout w:type="fixed"/>
                      </w:tblPr>
                      <w:tblGrid>
                        <w:gridCol w:w="1273"/>
                        <w:gridCol w:w="729"/>
                        <w:gridCol w:w="699"/>
                        <w:gridCol w:w="733"/>
                        <w:gridCol w:w="728"/>
                      </w:tblGrid>
                      <w:tr>
                        <w:tblPrEx>
                          <w:shd w:val="clear" w:color="auto" w:fill="000000"/>
                        </w:tblPrEx>
                        <w:trPr>
                          <w:trHeight w:val="524" w:hRule="atLeast"/>
                        </w:trPr>
                        <w:tc>
                          <w:tcPr>
                            <w:tcW w:type="dxa" w:w="127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Type of ZnO Nanoparticles</w:t>
                            </w:r>
                          </w:p>
                        </w:tc>
                        <w:tc>
                          <w:tcPr>
                            <w:tcW w:type="dxa" w:w="288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pStyle w:val="ค่าเริ่มต้น"/>
                              <w:suppressAutoHyphens w:val="1"/>
                              <w:spacing w:before="0" w:line="240" w:lineRule="auto"/>
                              <w:jc w:val="center"/>
                            </w:pPr>
                            <w:r>
                              <w:rPr>
                                <w:rFonts w:ascii="TH Sarabun New" w:hAnsi="TH Sarabun New"/>
                                <w:b w:val="1"/>
                                <w:bCs w:val="1"/>
                                <w:sz w:val="20"/>
                                <w:szCs w:val="20"/>
                                <w:rtl w:val="0"/>
                              </w:rPr>
                              <w:t>% Degradationat a Specific Time Duration Under UV Light (minutes)</w:t>
                            </w:r>
                          </w:p>
                        </w:tc>
                      </w:tr>
                      <w:tr>
                        <w:tblPrEx>
                          <w:shd w:val="clear" w:color="auto" w:fill="000000"/>
                        </w:tblPrEx>
                        <w:trPr>
                          <w:trHeight w:val="452" w:hRule="atLeast"/>
                        </w:trPr>
                        <w:tc>
                          <w:tcPr>
                            <w:tcW w:type="dxa" w:w="127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P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30</w:t>
                            </w:r>
                          </w:p>
                        </w:tc>
                        <w:tc>
                          <w:tcPr>
                            <w:tcW w:type="dxa" w:w="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90</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120</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150</w:t>
                            </w:r>
                          </w:p>
                        </w:tc>
                      </w:tr>
                      <w:tr>
                        <w:tblPrEx>
                          <w:shd w:val="clear" w:color="auto" w:fill="000000"/>
                        </w:tblPrEx>
                        <w:trPr>
                          <w:trHeight w:val="452" w:hRule="atLeast"/>
                        </w:trPr>
                        <w:tc>
                          <w:tcPr>
                            <w:tcW w:type="dxa" w:w="12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Commercial ZnO</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15.86</w:t>
                            </w:r>
                          </w:p>
                        </w:tc>
                        <w:tc>
                          <w:tcPr>
                            <w:tcW w:type="dxa" w:w="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26.50</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37.52</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40.03</w:t>
                            </w:r>
                          </w:p>
                        </w:tc>
                      </w:tr>
                      <w:tr>
                        <w:tblPrEx>
                          <w:shd w:val="clear" w:color="auto" w:fill="000000"/>
                        </w:tblPrEx>
                        <w:trPr>
                          <w:trHeight w:val="452" w:hRule="atLeast"/>
                        </w:trPr>
                        <w:tc>
                          <w:tcPr>
                            <w:tcW w:type="dxa" w:w="12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ZnO-Green</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16.66</w:t>
                            </w:r>
                          </w:p>
                        </w:tc>
                        <w:tc>
                          <w:tcPr>
                            <w:tcW w:type="dxa" w:w="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23.19</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28.62</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40.58</w:t>
                            </w:r>
                          </w:p>
                        </w:tc>
                      </w:tr>
                      <w:tr>
                        <w:tblPrEx>
                          <w:shd w:val="clear" w:color="auto" w:fill="000000"/>
                        </w:tblPrEx>
                        <w:trPr>
                          <w:trHeight w:val="452" w:hRule="atLeast"/>
                        </w:trPr>
                        <w:tc>
                          <w:tcPr>
                            <w:tcW w:type="dxa" w:w="12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1"/>
                                <w:bCs w:val="1"/>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ZnO-Sol Gel</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32.17</w:t>
                            </w:r>
                          </w:p>
                        </w:tc>
                        <w:tc>
                          <w:tcPr>
                            <w:tcW w:type="dxa" w:w="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41.16</w:t>
                            </w:r>
                          </w:p>
                        </w:tc>
                        <w:tc>
                          <w:tcPr>
                            <w:tcW w:type="dxa" w:w="7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50.30</w:t>
                            </w:r>
                          </w:p>
                        </w:tc>
                        <w:tc>
                          <w:tcPr>
                            <w:tcW w:type="dxa" w:w="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TH Sarabun New" w:cs="Arial Unicode MS" w:hAnsi="TH Sarabun New"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rtl w:val="0"/>
                                <w14:textOutline w14:w="12700" w14:cap="flat">
                                  <w14:noFill/>
                                  <w14:miter w14:lim="400000"/>
                                </w14:textOutline>
                                <w14:textFill>
                                  <w14:solidFill>
                                    <w14:srgbClr w14:val="000000"/>
                                  </w14:solidFill>
                                </w14:textFill>
                              </w:rPr>
                              <w:t>56.50</w:t>
                            </w:r>
                          </w:p>
                        </w:tc>
                      </w:tr>
                    </w:tbl>
                  </w:txbxContent>
                </v:textbox>
                <w10:wrap type="through" side="bothSides" anchorx="page" anchory="page"/>
              </v:shape>
            </w:pict>
          </mc:Fallback>
        </mc:AlternateContent>
      </w:r>
      <w:r>
        <w:rPr>
          <w:rFonts w:ascii="TH SarabunPSK" w:hAnsi="TH SarabunPSK"/>
          <w:sz w:val="28"/>
          <w:szCs w:val="28"/>
          <w:rtl w:val="0"/>
          <w:lang w:val="en-US"/>
        </w:rPr>
        <w:t>catalytic potential. The integration of these nanoparticles into textiles via spray coating presents a promising pathway for developing self-cleaning, water-repellent, and antimicrobial fabrics for medical and industrial use.</w:t>
      </w:r>
    </w:p>
    <w:p>
      <w:pPr>
        <w:pStyle w:val="เนื้อหา"/>
        <w:spacing w:after="0" w:line="240" w:lineRule="auto"/>
        <w:jc w:val="both"/>
        <w:rPr>
          <w:rFonts w:ascii="TH SarabunPSK" w:cs="TH SarabunPSK" w:hAnsi="TH SarabunPSK" w:eastAsia="TH SarabunPSK"/>
          <w:sz w:val="32"/>
          <w:szCs w:val="32"/>
        </w:rPr>
      </w:pPr>
    </w:p>
    <w:p>
      <w:pPr>
        <w:pStyle w:val="เนื้อหา"/>
        <w:spacing w:after="0" w:line="240" w:lineRule="auto"/>
        <w:jc w:val="both"/>
        <w:rPr>
          <w:rFonts w:ascii="TH SarabunPSK" w:cs="TH SarabunPSK" w:hAnsi="TH SarabunPSK" w:eastAsia="TH SarabunPSK"/>
          <w:b w:val="1"/>
          <w:bCs w:val="1"/>
          <w:sz w:val="28"/>
          <w:szCs w:val="28"/>
        </w:rPr>
      </w:pPr>
      <w:r>
        <w:rPr>
          <w:rFonts w:ascii="TH SarabunPSK" w:hAnsi="TH SarabunPSK"/>
          <w:b w:val="1"/>
          <w:bCs w:val="1"/>
          <w:sz w:val="28"/>
          <w:szCs w:val="28"/>
          <w:rtl w:val="0"/>
          <w:lang w:val="en-US"/>
        </w:rPr>
        <w:t xml:space="preserve">Acknowledgments </w:t>
      </w:r>
    </w:p>
    <w:p>
      <w:pPr>
        <w:pStyle w:val="เนื้อหา"/>
        <w:spacing w:after="0" w:line="240" w:lineRule="auto"/>
        <w:ind w:firstLine="720"/>
        <w:jc w:val="both"/>
        <w:rPr>
          <w:rFonts w:ascii="TH Sarabun New" w:cs="TH Sarabun New" w:hAnsi="TH Sarabun New" w:eastAsia="TH Sarabun New"/>
          <w:sz w:val="28"/>
          <w:szCs w:val="28"/>
        </w:rPr>
      </w:pPr>
      <w:r>
        <w:rPr>
          <w:rFonts w:ascii="TH Sarabun New" w:hAnsi="TH Sarabun New"/>
          <w:sz w:val="28"/>
          <w:szCs w:val="28"/>
          <w:rtl w:val="0"/>
          <w:lang w:val="en-US"/>
        </w:rPr>
        <w:t>Special thanks to Mr. Teerapat Khanjai, our project advisor, for his invaluable guidance and continuous support throughout this study. We also sincerely thank Princess Chulabhorn Science High School Chiang Rai for providing laboratory facilities and research support. Finally, we are grateful to all teachers, our families, and friends for their encouragement and assistance during this project.</w:t>
      </w:r>
    </w:p>
    <w:p>
      <w:pPr>
        <w:pStyle w:val="No Spacing"/>
        <w:rPr>
          <w:rFonts w:ascii="TH SarabunPSK" w:cs="TH SarabunPSK" w:hAnsi="TH SarabunPSK" w:eastAsia="TH SarabunPSK"/>
        </w:rPr>
      </w:pPr>
    </w:p>
    <w:p>
      <w:pPr>
        <w:pStyle w:val="เนื้อหา"/>
        <w:spacing w:after="0" w:line="240" w:lineRule="auto"/>
        <w:jc w:val="both"/>
        <w:rPr>
          <w:rFonts w:ascii="TH SarabunPSK" w:cs="TH SarabunPSK" w:hAnsi="TH SarabunPSK" w:eastAsia="TH SarabunPSK"/>
          <w:b w:val="1"/>
          <w:bCs w:val="1"/>
          <w:sz w:val="32"/>
          <w:szCs w:val="32"/>
        </w:rPr>
      </w:pPr>
      <w:r>
        <w:rPr>
          <w:rFonts w:ascii="TH SarabunPSK" w:hAnsi="TH SarabunPSK"/>
          <w:b w:val="1"/>
          <w:bCs w:val="1"/>
          <w:sz w:val="28"/>
          <w:szCs w:val="28"/>
          <w:rtl w:val="0"/>
          <w:lang w:val="fr-FR"/>
        </w:rPr>
        <w:t>References</w:t>
      </w:r>
    </w:p>
    <w:p>
      <w:pPr>
        <w:pStyle w:val="เนื้อหา"/>
        <w:spacing w:after="20" w:line="240" w:lineRule="auto"/>
        <w:rPr>
          <w:rFonts w:ascii="TH SarabunPSK" w:cs="TH SarabunPSK" w:hAnsi="TH SarabunPSK" w:eastAsia="TH SarabunPSK"/>
          <w:sz w:val="28"/>
          <w:szCs w:val="28"/>
        </w:rPr>
      </w:pPr>
      <w:r>
        <w:rPr>
          <w:rFonts w:ascii="TH SarabunPSK" w:hAnsi="TH SarabunPSK"/>
          <w:sz w:val="28"/>
          <w:szCs w:val="28"/>
          <w:rtl w:val="0"/>
          <w:lang w:val="nl-NL"/>
        </w:rPr>
        <w:t>Chansuwan, W. (2018).</w:t>
      </w:r>
      <w:r>
        <w:rPr>
          <w:rFonts w:ascii="TH SarabunPSK" w:hAnsi="TH SarabunPSK"/>
          <w:sz w:val="28"/>
          <w:szCs w:val="28"/>
          <w:rtl w:val="0"/>
          <w:lang w:val="en-US"/>
        </w:rPr>
        <w:t xml:space="preserve"> </w:t>
      </w:r>
    </w:p>
    <w:p>
      <w:pPr>
        <w:pStyle w:val="ค่าเริ่มต้น"/>
        <w:suppressAutoHyphens w:val="1"/>
        <w:spacing w:before="0" w:after="20" w:line="240" w:lineRule="auto"/>
        <w:ind w:left="720"/>
        <w:jc w:val="both"/>
        <w:rPr>
          <w:rFonts w:ascii="TH Sarabun New" w:cs="TH Sarabun New" w:hAnsi="TH Sarabun New" w:eastAsia="TH Sarabun New"/>
          <w:sz w:val="28"/>
          <w:szCs w:val="28"/>
        </w:rPr>
      </w:pPr>
      <w:r>
        <w:rPr>
          <w:rFonts w:ascii="TH Sarabun New" w:hAnsi="TH Sarabun New"/>
          <w:sz w:val="28"/>
          <w:szCs w:val="28"/>
          <w:rtl w:val="0"/>
          <w:lang w:val="en-US"/>
        </w:rPr>
        <w:t>Nano-coating Technology for the Modern Textile Industry. Rajamangala University of Technology Phra Nakhon Press, Bangkok.</w:t>
      </w:r>
    </w:p>
    <w:p>
      <w:pPr>
        <w:pStyle w:val="เนื้อหา"/>
        <w:spacing w:after="0" w:line="240" w:lineRule="auto"/>
        <w:rPr>
          <w:rFonts w:ascii="TH SarabunPSK" w:cs="TH SarabunPSK" w:hAnsi="TH SarabunPSK" w:eastAsia="TH SarabunPSK"/>
          <w:sz w:val="28"/>
          <w:szCs w:val="28"/>
        </w:rPr>
      </w:pPr>
      <w:r>
        <w:rPr>
          <w:rFonts w:ascii="TH Sarabun New" w:hAnsi="TH Sarabun New"/>
          <w:sz w:val="28"/>
          <w:szCs w:val="28"/>
          <w:rtl w:val="0"/>
        </w:rPr>
        <w:t>Kaewtrakulpong, P. (2020).</w:t>
      </w:r>
    </w:p>
    <w:p>
      <w:pPr>
        <w:pStyle w:val="ค่าเริ่มต้น"/>
        <w:suppressAutoHyphens w:val="1"/>
        <w:spacing w:before="0" w:line="240" w:lineRule="auto"/>
        <w:ind w:left="720"/>
        <w:jc w:val="both"/>
        <w:rPr>
          <w:rFonts w:ascii="TH Sarabun New" w:cs="TH Sarabun New" w:hAnsi="TH Sarabun New" w:eastAsia="TH Sarabun New"/>
          <w:sz w:val="28"/>
          <w:szCs w:val="28"/>
        </w:rPr>
      </w:pPr>
      <w:r>
        <w:rPr>
          <w:rFonts w:ascii="TH Sarabun New" w:hAnsi="TH Sarabun New"/>
          <w:sz w:val="28"/>
          <w:szCs w:val="28"/>
          <w:rtl w:val="0"/>
          <w:lang w:val="en-US"/>
        </w:rPr>
        <w:t>Electrospinning Technology for Nanofibers Production in Technical Textiles. Kasetsart University Press, Bangkok.</w:t>
      </w:r>
    </w:p>
    <w:p>
      <w:pPr>
        <w:pStyle w:val="ค่าเริ่มต้น"/>
        <w:suppressAutoHyphens w:val="1"/>
        <w:spacing w:before="0" w:line="240" w:lineRule="auto"/>
        <w:jc w:val="both"/>
        <w:rPr>
          <w:rFonts w:ascii="TH Sarabun New" w:cs="TH Sarabun New" w:hAnsi="TH Sarabun New" w:eastAsia="TH Sarabun New"/>
          <w:sz w:val="28"/>
          <w:szCs w:val="28"/>
        </w:rPr>
      </w:pPr>
      <w:r>
        <w:rPr>
          <w:rFonts w:ascii="TH Sarabun New" w:hAnsi="TH Sarabun New"/>
          <w:sz w:val="28"/>
          <w:szCs w:val="28"/>
          <w:rtl w:val="0"/>
          <w:lang w:val="en-US"/>
        </w:rPr>
        <w:t>Khamsawat, N., Klangpraphan, P., and Noisorn, W. (2020).</w:t>
      </w:r>
    </w:p>
    <w:p>
      <w:pPr>
        <w:pStyle w:val="ค่าเริ่มต้น"/>
        <w:suppressAutoHyphens w:val="1"/>
        <w:spacing w:before="0" w:line="240" w:lineRule="auto"/>
        <w:ind w:left="720"/>
        <w:jc w:val="both"/>
        <w:rPr>
          <w:rFonts w:ascii="TH Sarabun New" w:cs="TH Sarabun New" w:hAnsi="TH Sarabun New" w:eastAsia="TH Sarabun New"/>
          <w:sz w:val="28"/>
          <w:szCs w:val="28"/>
        </w:rPr>
      </w:pPr>
      <w:r>
        <w:rPr>
          <w:rFonts w:ascii="TH Sarabun New" w:hAnsi="TH Sarabun New"/>
          <w:sz w:val="28"/>
          <w:szCs w:val="28"/>
          <w:rtl w:val="0"/>
          <w:lang w:val="en-US"/>
        </w:rPr>
        <w:t xml:space="preserve">Surface Modification of Textiles with Nanoparticles to Enhance Water Repellency and Washing Durability. </w:t>
      </w:r>
      <w:r>
        <w:rPr>
          <w:rFonts w:ascii="TH Sarabun New" w:hAnsi="TH Sarabun New"/>
          <w:i w:val="1"/>
          <w:iCs w:val="1"/>
          <w:sz w:val="28"/>
          <w:szCs w:val="28"/>
          <w:rtl w:val="0"/>
          <w:lang w:val="en-US"/>
        </w:rPr>
        <w:t>Journal of Science and Technology Innovation Research and Development</w:t>
      </w:r>
      <w:r>
        <w:rPr>
          <w:rFonts w:ascii="TH Sarabun New" w:hAnsi="TH Sarabun New"/>
          <w:sz w:val="28"/>
          <w:szCs w:val="28"/>
          <w:rtl w:val="0"/>
        </w:rPr>
        <w:t>, 2(1), 12</w:t>
      </w:r>
      <w:r>
        <w:rPr>
          <w:rFonts w:ascii="TH Sarabun New" w:hAnsi="TH Sarabun New" w:hint="default"/>
          <w:sz w:val="28"/>
          <w:szCs w:val="28"/>
          <w:rtl w:val="0"/>
        </w:rPr>
        <w:t>–</w:t>
      </w:r>
      <w:r>
        <w:rPr>
          <w:rFonts w:ascii="TH Sarabun New" w:hAnsi="TH Sarabun New"/>
          <w:sz w:val="28"/>
          <w:szCs w:val="28"/>
          <w:rtl w:val="0"/>
        </w:rPr>
        <w:t>25.</w:t>
      </w:r>
    </w:p>
    <w:p>
      <w:pPr>
        <w:pStyle w:val="ค่าเริ่มต้น"/>
        <w:suppressAutoHyphens w:val="1"/>
        <w:spacing w:before="0" w:line="240" w:lineRule="auto"/>
        <w:jc w:val="both"/>
        <w:rPr>
          <w:rFonts w:ascii="TH Sarabun New" w:cs="TH Sarabun New" w:hAnsi="TH Sarabun New" w:eastAsia="TH Sarabun New"/>
          <w:sz w:val="28"/>
          <w:szCs w:val="28"/>
        </w:rPr>
      </w:pPr>
      <w:r>
        <w:rPr>
          <w:rFonts w:ascii="TH Sarabun New" w:hAnsi="TH Sarabun New"/>
          <w:sz w:val="28"/>
          <w:szCs w:val="28"/>
          <w:rtl w:val="0"/>
          <w:lang w:val="en-US"/>
        </w:rPr>
        <w:t>Liuveha, T., Chianamwong, P., and Attachot, O. (2020).</w:t>
      </w:r>
    </w:p>
    <w:p>
      <w:pPr>
        <w:pStyle w:val="ค่าเริ่มต้น"/>
        <w:suppressAutoHyphens w:val="1"/>
        <w:spacing w:before="0" w:line="240" w:lineRule="auto"/>
        <w:ind w:left="720"/>
        <w:jc w:val="both"/>
        <w:rPr>
          <w:rFonts w:ascii="TH Sarabun New" w:cs="TH Sarabun New" w:hAnsi="TH Sarabun New" w:eastAsia="TH Sarabun New"/>
          <w:sz w:val="28"/>
          <w:szCs w:val="28"/>
        </w:rPr>
      </w:pPr>
      <w:r>
        <w:rPr>
          <w:rFonts w:ascii="TH Sarabun New" w:hAnsi="TH Sarabun New"/>
          <w:sz w:val="28"/>
          <w:szCs w:val="28"/>
          <w:rtl w:val="0"/>
          <w:lang w:val="en-US"/>
        </w:rPr>
        <w:t xml:space="preserve">Mechanism of Free Radical Generation from Zinc Oxide Nanoparticles under UV Light for Organic Matter Degradation. </w:t>
      </w:r>
      <w:r>
        <w:rPr>
          <w:rFonts w:ascii="TH Sarabun New" w:hAnsi="TH Sarabun New"/>
          <w:i w:val="1"/>
          <w:iCs w:val="1"/>
          <w:sz w:val="28"/>
          <w:szCs w:val="28"/>
          <w:rtl w:val="0"/>
          <w:lang w:val="en-US"/>
        </w:rPr>
        <w:t>KMUTT Research and Development Journal</w:t>
      </w:r>
      <w:r>
        <w:rPr>
          <w:rFonts w:ascii="TH Sarabun New" w:hAnsi="TH Sarabun New"/>
          <w:sz w:val="28"/>
          <w:szCs w:val="28"/>
          <w:rtl w:val="0"/>
        </w:rPr>
        <w:t>, 43(2), 155</w:t>
      </w:r>
      <w:r>
        <w:rPr>
          <w:rFonts w:ascii="TH Sarabun New" w:hAnsi="TH Sarabun New" w:hint="default"/>
          <w:sz w:val="28"/>
          <w:szCs w:val="28"/>
          <w:rtl w:val="0"/>
        </w:rPr>
        <w:t>–</w:t>
      </w:r>
      <w:r>
        <w:rPr>
          <w:rFonts w:ascii="TH Sarabun New" w:hAnsi="TH Sarabun New"/>
          <w:sz w:val="28"/>
          <w:szCs w:val="28"/>
          <w:rtl w:val="0"/>
        </w:rPr>
        <w:t>168.</w:t>
      </w:r>
    </w:p>
    <w:p>
      <w:pPr>
        <w:pStyle w:val="ค่าเริ่มต้น"/>
        <w:suppressAutoHyphens w:val="1"/>
        <w:spacing w:before="0" w:line="240" w:lineRule="auto"/>
        <w:jc w:val="both"/>
        <w:rPr>
          <w:rFonts w:ascii="TH Sarabun New" w:cs="TH Sarabun New" w:hAnsi="TH Sarabun New" w:eastAsia="TH Sarabun New"/>
          <w:sz w:val="28"/>
          <w:szCs w:val="28"/>
        </w:rPr>
      </w:pPr>
      <w:r>
        <w:rPr>
          <w:rFonts w:ascii="TH Sarabun New" w:hAnsi="TH Sarabun New"/>
          <w:sz w:val="28"/>
          <w:szCs w:val="28"/>
          <w:rtl w:val="0"/>
          <w:lang w:val="en-US"/>
        </w:rPr>
        <w:t>Pimolsri, S., Tassanawiroj, N., and Sakultong, K. (2021).</w:t>
      </w:r>
    </w:p>
    <w:p>
      <w:pPr>
        <w:pStyle w:val="ค่าเริ่มต้น"/>
        <w:suppressAutoHyphens w:val="1"/>
        <w:spacing w:before="0" w:line="240" w:lineRule="auto"/>
        <w:ind w:left="720"/>
        <w:jc w:val="both"/>
        <w:rPr>
          <w:rFonts w:ascii="TH Sarabun New" w:cs="TH Sarabun New" w:hAnsi="TH Sarabun New" w:eastAsia="TH Sarabun New"/>
          <w:sz w:val="28"/>
          <w:szCs w:val="28"/>
        </w:rPr>
      </w:pPr>
      <w:r>
        <w:rPr>
          <w:rFonts w:ascii="TH Sarabun New" w:hAnsi="TH Sarabun New"/>
          <w:sz w:val="28"/>
          <w:szCs w:val="28"/>
          <w:rtl w:val="0"/>
          <w:lang w:val="en-US"/>
        </w:rPr>
        <w:t xml:space="preserve">Green Synthesis of Zinc Oxide Nanoparticles Using Plant Extracts and Their Antibacterial Applications. </w:t>
      </w:r>
      <w:r>
        <w:rPr>
          <w:rFonts w:ascii="TH Sarabun New" w:hAnsi="TH Sarabun New"/>
          <w:i w:val="1"/>
          <w:iCs w:val="1"/>
          <w:sz w:val="28"/>
          <w:szCs w:val="28"/>
          <w:rtl w:val="0"/>
          <w:lang w:val="en-US"/>
        </w:rPr>
        <w:t>Journal of Science and Technology</w:t>
      </w:r>
      <w:r>
        <w:rPr>
          <w:rFonts w:ascii="TH Sarabun New" w:hAnsi="TH Sarabun New"/>
          <w:sz w:val="28"/>
          <w:szCs w:val="28"/>
          <w:rtl w:val="0"/>
        </w:rPr>
        <w:t>, 29(4), 612</w:t>
      </w:r>
      <w:r>
        <w:rPr>
          <w:rFonts w:ascii="TH Sarabun New" w:hAnsi="TH Sarabun New" w:hint="default"/>
          <w:sz w:val="28"/>
          <w:szCs w:val="28"/>
          <w:rtl w:val="0"/>
        </w:rPr>
        <w:t>–</w:t>
      </w:r>
      <w:r>
        <w:rPr>
          <w:rFonts w:ascii="TH Sarabun New" w:hAnsi="TH Sarabun New"/>
          <w:sz w:val="28"/>
          <w:szCs w:val="28"/>
          <w:rtl w:val="0"/>
        </w:rPr>
        <w:t>625.</w:t>
      </w:r>
    </w:p>
    <w:p>
      <w:pPr>
        <w:pStyle w:val="ค่าเริ่มต้น"/>
        <w:suppressAutoHyphens w:val="1"/>
        <w:spacing w:before="0" w:line="240" w:lineRule="auto"/>
        <w:jc w:val="both"/>
        <w:rPr>
          <w:rFonts w:ascii="TH Sarabun New" w:cs="TH Sarabun New" w:hAnsi="TH Sarabun New" w:eastAsia="TH Sarabun New"/>
          <w:i w:val="0"/>
          <w:iCs w:val="0"/>
          <w:sz w:val="28"/>
          <w:szCs w:val="28"/>
        </w:rPr>
      </w:pPr>
      <w:r>
        <w:rPr>
          <w:rFonts w:ascii="TH Sarabun New" w:hAnsi="TH Sarabun New"/>
          <w:i w:val="0"/>
          <w:iCs w:val="0"/>
          <w:sz w:val="28"/>
          <w:szCs w:val="28"/>
          <w:rtl w:val="0"/>
        </w:rPr>
        <w:t xml:space="preserve">Thailand Textile Institute. (2022). </w:t>
      </w:r>
    </w:p>
    <w:p>
      <w:pPr>
        <w:pStyle w:val="ค่าเริ่มต้น"/>
        <w:suppressAutoHyphens w:val="1"/>
        <w:spacing w:before="0" w:line="240" w:lineRule="auto"/>
        <w:ind w:left="720"/>
        <w:jc w:val="both"/>
        <w:rPr>
          <w:rFonts w:ascii="TH Sarabun New" w:cs="TH Sarabun New" w:hAnsi="TH Sarabun New" w:eastAsia="TH Sarabun New"/>
          <w:i w:val="0"/>
          <w:iCs w:val="0"/>
          <w:sz w:val="28"/>
          <w:szCs w:val="28"/>
        </w:rPr>
      </w:pPr>
      <w:r>
        <w:rPr>
          <w:rFonts w:ascii="TH Sarabun New" w:hAnsi="TH Sarabun New"/>
          <w:i w:val="1"/>
          <w:iCs w:val="1"/>
          <w:sz w:val="28"/>
          <w:szCs w:val="28"/>
          <w:rtl w:val="0"/>
          <w:lang w:val="en-US"/>
        </w:rPr>
        <w:t>Report on the Textile Industry Situation and Adaptation to Nanotextile Innovation</w:t>
      </w:r>
      <w:r>
        <w:rPr>
          <w:rFonts w:ascii="TH Sarabun New" w:hAnsi="TH Sarabun New"/>
          <w:i w:val="0"/>
          <w:iCs w:val="0"/>
          <w:sz w:val="28"/>
          <w:szCs w:val="28"/>
          <w:rtl w:val="0"/>
          <w:lang w:val="en-US"/>
        </w:rPr>
        <w:t>. Ministry of Industry, Bangkok.</w:t>
      </w:r>
    </w:p>
    <w:p>
      <w:pPr>
        <w:pStyle w:val="ค่าเริ่มต้น"/>
        <w:suppressAutoHyphens w:val="1"/>
        <w:spacing w:before="0" w:line="240" w:lineRule="auto"/>
        <w:jc w:val="both"/>
        <w:rPr>
          <w:rFonts w:ascii="TH Sarabun New" w:cs="TH Sarabun New" w:hAnsi="TH Sarabun New" w:eastAsia="TH Sarabun New"/>
          <w:sz w:val="28"/>
          <w:szCs w:val="28"/>
        </w:rPr>
      </w:pPr>
      <w:r>
        <w:rPr>
          <w:rFonts w:ascii="TH Sarabun New" w:hAnsi="TH Sarabun New"/>
          <w:sz w:val="28"/>
          <w:szCs w:val="28"/>
          <w:rtl w:val="0"/>
          <w:lang w:val="it-IT"/>
        </w:rPr>
        <w:t xml:space="preserve">Yawong, K., and Chiaranaisilalak, S. (2019). </w:t>
      </w:r>
    </w:p>
    <w:p>
      <w:pPr>
        <w:pStyle w:val="ค่าเริ่มต้น"/>
        <w:suppressAutoHyphens w:val="1"/>
        <w:spacing w:before="0" w:line="240" w:lineRule="auto"/>
        <w:ind w:left="720"/>
        <w:jc w:val="both"/>
        <w:rPr>
          <w:rFonts w:ascii="TH Sarabun New" w:cs="TH Sarabun New" w:hAnsi="TH Sarabun New" w:eastAsia="TH Sarabun New"/>
          <w:sz w:val="28"/>
          <w:szCs w:val="28"/>
        </w:rPr>
      </w:pPr>
      <w:r>
        <w:rPr>
          <w:rFonts w:ascii="TH Sarabun New" w:hAnsi="TH Sarabun New"/>
          <w:sz w:val="28"/>
          <w:szCs w:val="28"/>
          <w:rtl w:val="0"/>
          <w:lang w:val="en-US"/>
        </w:rPr>
        <w:t xml:space="preserve">Synthesis of Zinc Oxide Nanoparticles for Use as Photocatalysts in Methylene Blue Degradation and Antibacterial Activity. </w:t>
      </w:r>
      <w:r>
        <w:rPr>
          <w:rFonts w:ascii="TH Sarabun New" w:hAnsi="TH Sarabun New"/>
          <w:i w:val="1"/>
          <w:iCs w:val="1"/>
          <w:sz w:val="28"/>
          <w:szCs w:val="28"/>
          <w:rtl w:val="0"/>
          <w:lang w:val="en-US"/>
        </w:rPr>
        <w:t>Thammasat University Journal of Science and Technology</w:t>
      </w:r>
      <w:r>
        <w:rPr>
          <w:rFonts w:ascii="TH Sarabun New" w:hAnsi="TH Sarabun New"/>
          <w:sz w:val="28"/>
          <w:szCs w:val="28"/>
          <w:rtl w:val="0"/>
        </w:rPr>
        <w:t>, 27(5), 842</w:t>
      </w:r>
      <w:r>
        <w:rPr>
          <w:rFonts w:ascii="TH Sarabun New" w:hAnsi="TH Sarabun New" w:hint="default"/>
          <w:sz w:val="28"/>
          <w:szCs w:val="28"/>
          <w:rtl w:val="0"/>
        </w:rPr>
        <w:t>–</w:t>
      </w:r>
      <w:r>
        <w:rPr>
          <w:rFonts w:ascii="TH Sarabun New" w:hAnsi="TH Sarabun New"/>
          <w:sz w:val="28"/>
          <w:szCs w:val="28"/>
          <w:rtl w:val="0"/>
        </w:rPr>
        <w:t>856.</w:t>
      </w:r>
    </w:p>
    <w:p>
      <w:pPr>
        <w:pStyle w:val="ค่าเริ่มต้น"/>
        <w:suppressAutoHyphens w:val="1"/>
        <w:spacing w:before="0" w:line="240" w:lineRule="auto"/>
        <w:jc w:val="both"/>
        <w:rPr>
          <w:rFonts w:ascii="TH Sarabun New" w:cs="TH Sarabun New" w:hAnsi="TH Sarabun New" w:eastAsia="TH Sarabun New"/>
          <w:sz w:val="28"/>
          <w:szCs w:val="28"/>
        </w:rPr>
      </w:pPr>
    </w:p>
    <w:p>
      <w:pPr>
        <w:pStyle w:val="ค่าเริ่มต้น"/>
        <w:suppressAutoHyphens w:val="1"/>
        <w:spacing w:before="0" w:line="240" w:lineRule="auto"/>
        <w:ind w:left="720"/>
        <w:jc w:val="both"/>
        <w:rPr>
          <w:rFonts w:ascii="TH Sarabun New" w:cs="TH Sarabun New" w:hAnsi="TH Sarabun New" w:eastAsia="TH Sarabun New"/>
          <w:sz w:val="28"/>
          <w:szCs w:val="28"/>
        </w:rPr>
      </w:pPr>
    </w:p>
    <w:p>
      <w:pPr>
        <w:pStyle w:val="ค่าเริ่มต้น"/>
        <w:suppressAutoHyphens w:val="1"/>
        <w:spacing w:before="0" w:line="240" w:lineRule="auto"/>
        <w:jc w:val="both"/>
        <w:rPr>
          <w:rFonts w:ascii="TH Sarabun New" w:cs="TH Sarabun New" w:hAnsi="TH Sarabun New" w:eastAsia="TH Sarabun New"/>
          <w:sz w:val="28"/>
          <w:szCs w:val="28"/>
        </w:rPr>
      </w:pPr>
    </w:p>
    <w:p>
      <w:pPr>
        <w:pStyle w:val="ค่าเริ่มต้น"/>
        <w:suppressAutoHyphens w:val="1"/>
        <w:spacing w:before="0" w:line="240" w:lineRule="auto"/>
        <w:ind w:left="720"/>
        <w:jc w:val="both"/>
      </w:pPr>
      <w:r>
        <w:rPr>
          <w:rFonts w:ascii="TH Sarabun New" w:cs="TH Sarabun New" w:hAnsi="TH Sarabun New" w:eastAsia="TH Sarabun New"/>
          <w:sz w:val="28"/>
          <w:szCs w:val="28"/>
        </w:rPr>
      </w:r>
    </w:p>
    <w:sectPr>
      <w:type w:val="continuous"/>
      <w:pgSz w:w="11900" w:h="16840" w:orient="portrait"/>
      <w:pgMar w:top="1701" w:right="1134" w:bottom="1134" w:left="1701" w:header="720" w:footer="720"/>
      <w:cols w:space="720"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TH SarabunPSK">
    <w:charset w:val="00"/>
    <w:family w:val="roman"/>
    <w:pitch w:val="default"/>
  </w:font>
  <w:font w:name="TH Sarabun New">
    <w:charset w:val="00"/>
    <w:family w:val="roman"/>
    <w:pitch w:val="default"/>
  </w:font>
  <w:font w:name="Thonburi">
    <w:charset w:val="00"/>
    <w:family w:val="roman"/>
    <w:pitch w:val="default"/>
  </w:font>
  <w:font w:name="Thonburi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Fonts w:ascii="TH SarabunPSK" w:hAnsi="TH SarabunPSK"/>
        <w:sz w:val="28"/>
        <w:szCs w:val="28"/>
        <w:rtl w:val="0"/>
      </w:rPr>
      <w:fldChar w:fldCharType="begin" w:fldLock="0"/>
    </w:r>
    <w:r>
      <w:rPr>
        <w:rFonts w:ascii="TH SarabunPSK" w:hAnsi="TH SarabunPSK"/>
        <w:sz w:val="28"/>
        <w:szCs w:val="28"/>
        <w:rtl w:val="0"/>
      </w:rPr>
      <w:instrText xml:space="preserve"> PAGE </w:instrText>
    </w:r>
    <w:r>
      <w:rPr>
        <w:rFonts w:ascii="TH SarabunPSK" w:hAnsi="TH SarabunPSK"/>
        <w:sz w:val="28"/>
        <w:szCs w:val="28"/>
        <w:rtl w:val="0"/>
      </w:rPr>
      <w:fldChar w:fldCharType="separate" w:fldLock="0"/>
    </w:r>
    <w:r>
      <w:rPr>
        <w:rFonts w:ascii="TH SarabunPSK" w:hAnsi="TH SarabunPSK"/>
        <w:sz w:val="28"/>
        <w:szCs w:val="28"/>
        <w:rtl w:val="0"/>
      </w:rPr>
    </w:r>
    <w:r>
      <w:rPr>
        <w:rFonts w:ascii="TH SarabunPSK" w:hAnsi="TH SarabunPSK"/>
        <w:sz w:val="28"/>
        <w:szCs w:val="28"/>
        <w:rtl w:val="0"/>
      </w:rPr>
      <w:fldChar w:fldCharType="end" w:fldLock="0"/>
    </w:r>
    <w:r>
      <w:rPr>
        <w:rFonts w:ascii="TH SarabunPSK" w:hAnsi="TH SarabunPSK"/>
        <w:sz w:val="28"/>
        <w:szCs w:val="28"/>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60046" cy="1299577"/>
          <wp:effectExtent l="0" t="0" r="0" b="0"/>
          <wp:wrapNone/>
          <wp:docPr id="1073741825" name="officeArt object" descr="รูปภาพ 47"/>
          <wp:cNvGraphicFramePr/>
          <a:graphic xmlns:a="http://schemas.openxmlformats.org/drawingml/2006/main">
            <a:graphicData uri="http://schemas.openxmlformats.org/drawingml/2006/picture">
              <pic:pic xmlns:pic="http://schemas.openxmlformats.org/drawingml/2006/picture">
                <pic:nvPicPr>
                  <pic:cNvPr id="1073741825" name="รูปภาพ 47" descr="รูปภาพ 47"/>
                  <pic:cNvPicPr>
                    <a:picLocks noChangeAspect="1"/>
                  </pic:cNvPicPr>
                </pic:nvPicPr>
                <pic:blipFill>
                  <a:blip r:embed="rId1">
                    <a:extLst/>
                  </a:blip>
                  <a:srcRect l="0" t="0" r="0" b="87836"/>
                  <a:stretch>
                    <a:fillRect/>
                  </a:stretch>
                </pic:blipFill>
                <pic:spPr>
                  <a:xfrm>
                    <a:off x="0" y="0"/>
                    <a:ext cx="7560046" cy="1299577"/>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59264" behindDoc="1" locked="0" layoutInCell="1" allowOverlap="1">
          <wp:simplePos x="0" y="0"/>
          <wp:positionH relativeFrom="page">
            <wp:posOffset>0</wp:posOffset>
          </wp:positionH>
          <wp:positionV relativeFrom="page">
            <wp:posOffset>10021570</wp:posOffset>
          </wp:positionV>
          <wp:extent cx="7834343" cy="668740"/>
          <wp:effectExtent l="0" t="0" r="0" b="0"/>
          <wp:wrapNone/>
          <wp:docPr id="1073741826" name="officeArt object" descr="รูปภาพ 54"/>
          <wp:cNvGraphicFramePr/>
          <a:graphic xmlns:a="http://schemas.openxmlformats.org/drawingml/2006/main">
            <a:graphicData uri="http://schemas.openxmlformats.org/drawingml/2006/picture">
              <pic:pic xmlns:pic="http://schemas.openxmlformats.org/drawingml/2006/picture">
                <pic:nvPicPr>
                  <pic:cNvPr id="1073741826" name="รูปภาพ 54" descr="รูปภาพ 54"/>
                  <pic:cNvPicPr>
                    <a:picLocks noChangeAspect="1"/>
                  </pic:cNvPicPr>
                </pic:nvPicPr>
                <pic:blipFill>
                  <a:blip r:embed="rId2">
                    <a:extLst/>
                  </a:blip>
                  <a:stretch>
                    <a:fillRect/>
                  </a:stretch>
                </pic:blipFill>
                <pic:spPr>
                  <a:xfrm>
                    <a:off x="0" y="0"/>
                    <a:ext cx="7834343" cy="668740"/>
                  </a:xfrm>
                  <a:prstGeom prst="rect">
                    <a:avLst/>
                  </a:prstGeom>
                  <a:ln w="12700" cap="flat">
                    <a:noFill/>
                    <a:miter lim="400000"/>
                  </a:ln>
                  <a:effectLst/>
                </pic:spPr>
              </pic:pic>
            </a:graphicData>
          </a:graphic>
        </wp:anchor>
      </w:drawing>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เป็นตัวอักษร"/>
  </w:abstractNum>
  <w:abstractNum w:abstractNumId="1">
    <w:multiLevelType w:val="hybridMultilevel"/>
    <w:styleLink w:val="เป็นตัวอักษร"/>
    <w:lvl w:ilvl="0">
      <w:start w:val="1"/>
      <w:numFmt w:val="decimal"/>
      <w:suff w:val="tab"/>
      <w:lvlText w:val="%1)"/>
      <w:lvlJc w:val="left"/>
      <w:pPr>
        <w:ind w:left="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4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5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7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8289" w:hanging="289"/>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ไทย" w:val="‘“(〔[{〈《「『【⦅〘〖«〝︵︷︹︻︽︿﹁﹃﹇﹙﹛﹝｢"/>
  <w:noLineBreaksBefore w:lang="ไทย"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เนื้อหา">
    <w:name w:val="เนื้อหา"/>
    <w:next w:val="เนื้อหา"/>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ค่าเริ่มต้น">
    <w:name w:val="ค่าเริ่มต้น"/>
    <w:next w:val="ค่าเริ่มต้น"/>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Thonburi" w:cs="Arial Unicode MS" w:hAnsi="Thonburi"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เป็นตัวอักษร">
    <w:name w:val="เป็นตัวอักษร"/>
    <w:pPr>
      <w:numPr>
        <w:numId w:val="1"/>
      </w:numPr>
    </w:pPr>
  </w:style>
  <w:style w:type="paragraph" w:styleId="คำอธิบายภาพของวัตถุ">
    <w:name w:val="คำอธิบายภาพของวัตถุ"/>
    <w:next w:val="คำอธิบายภาพของวัตถุ"/>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honburi Light" w:cs="Arial Unicode MS" w:hAnsi="Thonburi Light"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numbering" Target="numbering.xml"/><Relationship Id="rId10"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xmlns:r="http://schemas.openxmlformats.org/officeDocument/2006/relationships" name="ชุดรูปแบบของ Office">
  <a:themeElements>
    <a:clrScheme name="ชุดรูปแบบของ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ชุดรูปแบบของ Office">
      <a:majorFont>
        <a:latin typeface="Thonburi"/>
        <a:ea typeface="Thonburi"/>
        <a:cs typeface="Thonburi"/>
      </a:majorFont>
      <a:minorFont>
        <a:latin typeface="Thonburi"/>
        <a:ea typeface="Thonburi"/>
        <a:cs typeface="Thonburi"/>
      </a:minorFont>
    </a:fontScheme>
    <a:fmtScheme name="ชุดรูปแบบของ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