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9774" w14:textId="77777777" w:rsidR="00C82BDE" w:rsidRDefault="00000000">
      <w:pPr>
        <w:keepLines/>
        <w:spacing w:after="6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Assessing Factors Associated with Apparent Hotspot-Cluster Spread in Upper Northern Thailand Using a Rothermel-Inspired Model</w:t>
      </w:r>
    </w:p>
    <w:p w14:paraId="4CE76A63" w14:textId="77777777" w:rsidR="0087775B" w:rsidRPr="0087775B" w:rsidRDefault="0087775B">
      <w:pPr>
        <w:keepLines/>
        <w:spacing w:after="60"/>
        <w:jc w:val="center"/>
        <w:rPr>
          <w:rFonts w:hint="cs"/>
        </w:rPr>
      </w:pPr>
    </w:p>
    <w:p w14:paraId="3C98FCD5" w14:textId="77777777" w:rsidR="00C82BDE" w:rsidRPr="0087775B" w:rsidRDefault="00000000">
      <w:pPr>
        <w:spacing w:after="20"/>
        <w:jc w:val="center"/>
        <w:rPr>
          <w:sz w:val="28"/>
          <w:szCs w:val="28"/>
        </w:rPr>
      </w:pPr>
      <w:r w:rsidRPr="0087775B">
        <w:rPr>
          <w:color w:val="000000"/>
          <w:sz w:val="28"/>
          <w:szCs w:val="28"/>
        </w:rPr>
        <w:t>Piyachet Saengchan</w:t>
      </w:r>
      <w:r w:rsidRPr="0087775B">
        <w:rPr>
          <w:color w:val="000000"/>
          <w:sz w:val="28"/>
          <w:szCs w:val="28"/>
          <w:vertAlign w:val="superscript"/>
        </w:rPr>
        <w:t>1*</w:t>
      </w:r>
      <w:r w:rsidRPr="0087775B">
        <w:rPr>
          <w:color w:val="000000"/>
          <w:sz w:val="28"/>
          <w:szCs w:val="28"/>
        </w:rPr>
        <w:t xml:space="preserve">, </w:t>
      </w:r>
      <w:proofErr w:type="spellStart"/>
      <w:r w:rsidRPr="0087775B">
        <w:rPr>
          <w:color w:val="000000"/>
          <w:sz w:val="28"/>
          <w:szCs w:val="28"/>
        </w:rPr>
        <w:t>Kritakan</w:t>
      </w:r>
      <w:proofErr w:type="spellEnd"/>
      <w:r w:rsidRPr="0087775B">
        <w:rPr>
          <w:color w:val="000000"/>
          <w:sz w:val="28"/>
          <w:szCs w:val="28"/>
        </w:rPr>
        <w:t xml:space="preserve"> Meejan</w:t>
      </w:r>
      <w:r w:rsidRPr="0087775B">
        <w:rPr>
          <w:color w:val="000000"/>
          <w:sz w:val="28"/>
          <w:szCs w:val="28"/>
          <w:vertAlign w:val="superscript"/>
        </w:rPr>
        <w:t>1</w:t>
      </w:r>
      <w:r w:rsidRPr="0087775B">
        <w:rPr>
          <w:color w:val="000000"/>
          <w:sz w:val="28"/>
          <w:szCs w:val="28"/>
        </w:rPr>
        <w:t xml:space="preserve"> and Winwan Santipapwiwatana</w:t>
      </w:r>
      <w:r w:rsidRPr="0087775B">
        <w:rPr>
          <w:color w:val="000000"/>
          <w:sz w:val="28"/>
          <w:szCs w:val="28"/>
          <w:vertAlign w:val="superscript"/>
        </w:rPr>
        <w:t>1</w:t>
      </w:r>
    </w:p>
    <w:p w14:paraId="542839FD" w14:textId="77777777" w:rsidR="00C82BDE" w:rsidRPr="0087775B" w:rsidRDefault="00000000">
      <w:pPr>
        <w:spacing w:after="20"/>
        <w:jc w:val="center"/>
        <w:rPr>
          <w:sz w:val="24"/>
          <w:szCs w:val="24"/>
        </w:rPr>
      </w:pPr>
      <w:r w:rsidRPr="0087775B">
        <w:rPr>
          <w:i/>
          <w:color w:val="000000"/>
          <w:sz w:val="24"/>
          <w:szCs w:val="24"/>
          <w:vertAlign w:val="superscript"/>
        </w:rPr>
        <w:t>1</w:t>
      </w:r>
      <w:r w:rsidRPr="0087775B">
        <w:rPr>
          <w:i/>
          <w:color w:val="000000"/>
          <w:sz w:val="24"/>
          <w:szCs w:val="24"/>
        </w:rPr>
        <w:t>Princess Chulabhorn Science High School Chiang Rai, 345 Moo 2, Rob Wiang, Mueang Chiang Rai, Chiang Rai 57000, Thailand</w:t>
      </w:r>
    </w:p>
    <w:p w14:paraId="26458B1C" w14:textId="77777777" w:rsidR="00C82BDE" w:rsidRDefault="00000000">
      <w:pPr>
        <w:keepLines/>
        <w:spacing w:after="100"/>
        <w:jc w:val="center"/>
        <w:rPr>
          <w:i/>
          <w:color w:val="000000"/>
          <w:sz w:val="24"/>
          <w:szCs w:val="24"/>
        </w:rPr>
      </w:pPr>
      <w:r w:rsidRPr="0087775B">
        <w:rPr>
          <w:i/>
          <w:color w:val="000000"/>
          <w:sz w:val="24"/>
          <w:szCs w:val="24"/>
        </w:rPr>
        <w:t>*E-mail: Piyachet.barnaby@gmail.com</w:t>
      </w:r>
    </w:p>
    <w:p w14:paraId="7E58CF6E" w14:textId="77777777" w:rsidR="0087775B" w:rsidRPr="0087775B" w:rsidRDefault="0087775B" w:rsidP="0087775B">
      <w:pPr>
        <w:keepLines/>
        <w:spacing w:after="0"/>
        <w:jc w:val="center"/>
        <w:rPr>
          <w:rFonts w:hint="cs"/>
          <w:sz w:val="24"/>
          <w:szCs w:val="24"/>
        </w:rPr>
      </w:pPr>
    </w:p>
    <w:p w14:paraId="54F66FBC" w14:textId="77777777" w:rsidR="00C82BDE" w:rsidRDefault="00000000">
      <w:pPr>
        <w:keepLines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Abstract</w:t>
      </w:r>
    </w:p>
    <w:p w14:paraId="2C36A845" w14:textId="77777777" w:rsidR="0087775B" w:rsidRDefault="0087775B">
      <w:pPr>
        <w:keepLines/>
        <w:jc w:val="center"/>
        <w:rPr>
          <w:rFonts w:hint="cs"/>
        </w:rPr>
      </w:pPr>
    </w:p>
    <w:p w14:paraId="0D2972D7" w14:textId="77777777" w:rsidR="00C82BDE" w:rsidRDefault="00000000" w:rsidP="0087775B">
      <w:pPr>
        <w:spacing w:after="20"/>
        <w:ind w:firstLine="720"/>
        <w:jc w:val="both"/>
      </w:pPr>
      <w:r>
        <w:rPr>
          <w:color w:val="000000"/>
          <w:sz w:val="27"/>
        </w:rPr>
        <w:t>Satellite active-fire data provide broad spatial coverage, but hotspot coordinates represent nominal pixel centres rather than directly observed fire fronts. This study evaluated whether daily centroid displacement of VIIRS hotspot clusters (</w:t>
      </w:r>
      <w:r>
        <w:rPr>
          <w:i/>
          <w:color w:val="000000"/>
          <w:sz w:val="27"/>
        </w:rPr>
        <w:t>R</w:t>
      </w:r>
      <w:r>
        <w:rPr>
          <w:color w:val="000000"/>
          <w:sz w:val="22"/>
          <w:vertAlign w:val="subscript"/>
        </w:rPr>
        <w:t>obs</w:t>
      </w:r>
      <w:r>
        <w:rPr>
          <w:color w:val="000000"/>
          <w:sz w:val="27"/>
        </w:rPr>
        <w:t xml:space="preserve">) could support assessment of fuel moisture, wind speed, and terrain slope in upper northern Thailand. We processed 221,418 detections from Suomi NPP, NOAA-20, and NOAA-21 collected from 1 February to 1 May 2026. After de-duplication and confidence filtering, 186,675 detections remained. Spatial DBSCAN with a 2-km radius, followed by temporal-gap splitting, produced 155 groups with at least two observed days and 1,016 complete </w:t>
      </w:r>
      <w:r>
        <w:rPr>
          <w:i/>
          <w:color w:val="000000"/>
          <w:sz w:val="27"/>
        </w:rPr>
        <w:t>R</w:t>
      </w:r>
      <w:r>
        <w:rPr>
          <w:color w:val="000000"/>
          <w:sz w:val="22"/>
          <w:vertAlign w:val="subscript"/>
        </w:rPr>
        <w:t>obs</w:t>
      </w:r>
      <w:r>
        <w:rPr>
          <w:color w:val="000000"/>
          <w:sz w:val="27"/>
        </w:rPr>
        <w:t xml:space="preserve"> records. A validity audit found that a single dominant algorithmic group (Group 0) contained 169,861 detections (92.22% of grouped data), spanned all 90 days, and covered almost the entire 332 × 334 km study box, indicating spatial percolation rather than a single fire. Under physically constrained calibration, the moisture, wind, and slope effects approached zero; the reduced model collapsed to an approximately constant prediction (</w:t>
      </w:r>
      <w:r>
        <w:rPr>
          <w:i/>
          <w:color w:val="000000"/>
          <w:sz w:val="27"/>
        </w:rPr>
        <w:t>R</w:t>
      </w:r>
      <w:r>
        <w:rPr>
          <w:color w:val="000000"/>
          <w:sz w:val="22"/>
          <w:vertAlign w:val="superscript"/>
        </w:rPr>
        <w:t>2</w:t>
      </w:r>
      <w:r>
        <w:rPr>
          <w:color w:val="000000"/>
          <w:sz w:val="27"/>
        </w:rPr>
        <w:t xml:space="preserve"> ≈ 0, RMSE = 2.096 m min⁻¹, MAPE = 225.6%). Row-level correlations with </w:t>
      </w:r>
      <w:r>
        <w:rPr>
          <w:i/>
          <w:color w:val="000000"/>
          <w:sz w:val="27"/>
        </w:rPr>
        <w:t>R</w:t>
      </w:r>
      <w:r>
        <w:rPr>
          <w:color w:val="000000"/>
          <w:sz w:val="22"/>
          <w:vertAlign w:val="subscript"/>
        </w:rPr>
        <w:t>obs</w:t>
      </w:r>
      <w:r>
        <w:rPr>
          <w:color w:val="000000"/>
          <w:sz w:val="27"/>
        </w:rPr>
        <w:t xml:space="preserve"> also opposed the expected physical directions. For centroid movements of at least 1 km, the median angular difference from downwind was 85.8° and the Rayleigh </w:t>
      </w:r>
      <w:r>
        <w:rPr>
          <w:i/>
          <w:color w:val="000000"/>
          <w:sz w:val="27"/>
        </w:rPr>
        <w:t>p</w:t>
      </w:r>
      <w:r>
        <w:rPr>
          <w:color w:val="000000"/>
          <w:sz w:val="27"/>
        </w:rPr>
        <w:t>-value was 0.829. These results do not support using daily hotspot-centroid displacement to calibrate a physical fire-spread model. The main contribution is a reproducible validity assessment showing that spatiotemporal event construction and a validated fire-front target must precede factor ranking or model calibration.</w:t>
      </w:r>
    </w:p>
    <w:p w14:paraId="0A275908" w14:textId="77777777" w:rsidR="00C82BDE" w:rsidRDefault="00000000">
      <w:pPr>
        <w:spacing w:before="20" w:after="0"/>
      </w:pPr>
      <w:r>
        <w:rPr>
          <w:b/>
          <w:color w:val="000000"/>
          <w:sz w:val="28"/>
        </w:rPr>
        <w:t xml:space="preserve">Keywords: </w:t>
      </w:r>
      <w:r>
        <w:rPr>
          <w:color w:val="000000"/>
          <w:sz w:val="28"/>
        </w:rPr>
        <w:t>VIIRS active fire, apparent spread rate, Rothermel model, DBSCAN, validity assessment</w:t>
      </w:r>
    </w:p>
    <w:sectPr w:rsidR="00C82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3" w:right="1440" w:bottom="124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5AD9" w14:textId="77777777" w:rsidR="0007418D" w:rsidRDefault="0007418D">
      <w:pPr>
        <w:spacing w:after="0"/>
      </w:pPr>
      <w:r>
        <w:separator/>
      </w:r>
    </w:p>
  </w:endnote>
  <w:endnote w:type="continuationSeparator" w:id="0">
    <w:p w14:paraId="6432332A" w14:textId="77777777" w:rsidR="0007418D" w:rsidRDefault="000741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F0E1DB-0824-40C1-9CCB-EA886CF3B30F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0B760BC7-691D-4E0C-B1B3-42F76B721445}"/>
    <w:embedBold r:id="rId3" w:fontKey="{CBC2344C-C8F8-455D-B4B7-8D60E912E344}"/>
    <w:embedItalic r:id="rId4" w:fontKey="{C290E43D-816A-45C2-9BDF-F57742892C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3D2CE416-D779-486F-A6DA-71B257761C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0C8063A-4B53-4D4A-8517-6EEEDBC6B687}"/>
    <w:embedItalic r:id="rId7" w:fontKey="{CAF8AB49-6C97-4B6F-8AB9-6E35813EDA0D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8" w:fontKey="{A0CCBB39-45BC-4AF7-912D-FC6D3DF72F24}"/>
    <w:embedBold r:id="rId9" w:fontKey="{97888D4A-05AB-4239-9CCA-A38316B76E7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729BEBD5-503E-4AD2-A82A-4B1088FF557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437C6012-9A81-47D4-BEEF-38655E4527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F5A9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CBF0" w14:textId="777777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 descr="PCSHS Science Symposium 2026 footer decor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C13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4A23" w14:textId="77777777" w:rsidR="0007418D" w:rsidRDefault="0007418D">
      <w:pPr>
        <w:spacing w:after="0"/>
      </w:pPr>
      <w:r>
        <w:separator/>
      </w:r>
    </w:p>
  </w:footnote>
  <w:footnote w:type="continuationSeparator" w:id="0">
    <w:p w14:paraId="53510D66" w14:textId="77777777" w:rsidR="0007418D" w:rsidRDefault="000741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326A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1A7A" w14:textId="77777777" w:rsidR="00090BD3" w:rsidRPr="0048372D" w:rsidRDefault="00FE3941" w:rsidP="00FE3941">
    <w:pPr>
      <w:spacing w:after="0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 descr="PCSHS Science Symposium 2026 header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58A2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18D"/>
    <w:rsid w:val="00074EED"/>
    <w:rsid w:val="000852E3"/>
    <w:rsid w:val="00090BD3"/>
    <w:rsid w:val="00160C21"/>
    <w:rsid w:val="00196F3A"/>
    <w:rsid w:val="001C4197"/>
    <w:rsid w:val="002A71E2"/>
    <w:rsid w:val="0048372D"/>
    <w:rsid w:val="004C2435"/>
    <w:rsid w:val="005D4CC6"/>
    <w:rsid w:val="005E0658"/>
    <w:rsid w:val="00651559"/>
    <w:rsid w:val="006932F6"/>
    <w:rsid w:val="0086094A"/>
    <w:rsid w:val="0087775B"/>
    <w:rsid w:val="00962C47"/>
    <w:rsid w:val="009D6F84"/>
    <w:rsid w:val="00B57C95"/>
    <w:rsid w:val="00BD4C9D"/>
    <w:rsid w:val="00C82BDE"/>
    <w:rsid w:val="00D23736"/>
    <w:rsid w:val="00EC0167"/>
    <w:rsid w:val="00EE61BA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29835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pPr>
      <w:spacing w:after="40" w:line="240" w:lineRule="auto"/>
    </w:pPr>
    <w:rPr>
      <w:rFonts w:ascii="TH Sarabun New" w:eastAsia="TH Sarabun New" w:hAnsi="TH Sarabun New" w:cs="TH Sarabun New"/>
      <w:sz w:val="2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eastAsiaTheme="majorEastAsia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Assessing Factors Associated with Apparent Hotspot-Cluster Spread in Upper Northern Thailand Using a Rothermel-Inspired Model</dc:title>
  <dc:subject>English abstract for the 6th PCSHS Science Symposium 2026</dc:subject>
  <dc:creator>Piyachet Saengchan</dc:creator>
  <cp:keywords>VIIRS active fire, apparent spread rate, Rothermel model, DBSCAN, validity assessment</cp:keywords>
  <cp:lastModifiedBy>Piyachet Saengchan</cp:lastModifiedBy>
  <cp:revision>4</cp:revision>
  <cp:lastPrinted>2026-07-15T15:58:00Z</cp:lastPrinted>
  <dcterms:created xsi:type="dcterms:W3CDTF">2026-05-15T08:58:00Z</dcterms:created>
  <dcterms:modified xsi:type="dcterms:W3CDTF">2026-07-15T15:58:00Z</dcterms:modified>
</cp:coreProperties>
</file>