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2F5AE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lang w:val="en-US"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6946DE67" w14:textId="77777777" w:rsidR="007641B0" w:rsidRPr="007641B0" w:rsidRDefault="007641B0" w:rsidP="007641B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641B0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การเปรียบเทียบกลยุทธ์การลงทุนแบบถัวเฉลี่ยต้นทุนและการลงทุนแบบเงินก้อนครั้งเดียว</w:t>
      </w:r>
      <w:r w:rsidRPr="007641B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5ECF06DC" w14:textId="77777777" w:rsidR="007641B0" w:rsidRPr="00E0174F" w:rsidRDefault="007641B0" w:rsidP="007641B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7641B0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กรณีศึกษาหุ้น</w:t>
      </w:r>
      <w:r w:rsidRPr="007641B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641B0">
        <w:rPr>
          <w:rFonts w:ascii="TH SarabunPSK" w:hAnsi="TH SarabunPSK" w:cs="TH SarabunPSK"/>
          <w:b/>
          <w:bCs/>
          <w:sz w:val="32"/>
          <w:szCs w:val="32"/>
        </w:rPr>
        <w:t>SET50</w:t>
      </w:r>
    </w:p>
    <w:p w14:paraId="00000005" w14:textId="3218A26D" w:rsidR="00090BD3" w:rsidRPr="002F5AE0" w:rsidRDefault="007641B0" w:rsidP="008B68D0">
      <w:pPr>
        <w:spacing w:after="0" w:line="240" w:lineRule="auto"/>
        <w:jc w:val="center"/>
        <w:rPr>
          <w:rFonts w:ascii="TH SarabunPSK" w:hAnsi="TH SarabunPSK" w:cs="TH SarabunPSK"/>
          <w:sz w:val="28"/>
          <w:szCs w:val="28"/>
        </w:rPr>
      </w:pPr>
      <w:r w:rsidRPr="007641B0">
        <w:rPr>
          <w:rFonts w:ascii="TH SarabunPSK" w:eastAsia="Angsana New" w:hAnsi="TH SarabunPSK" w:cs="TH SarabunPSK" w:hint="cs"/>
          <w:sz w:val="28"/>
          <w:szCs w:val="28"/>
          <w:cs/>
        </w:rPr>
        <w:t>กชพรรณ สุดเอียด</w:t>
      </w:r>
      <w:r w:rsidR="008B68D0" w:rsidRPr="007641B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7641B0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 w:rsidRPr="007641B0">
        <w:rPr>
          <w:rFonts w:ascii="TH SarabunPSK" w:eastAsia="Angsana New" w:hAnsi="TH SarabunPSK" w:cs="TH SarabunPSK" w:hint="cs"/>
          <w:sz w:val="28"/>
          <w:szCs w:val="28"/>
          <w:cs/>
        </w:rPr>
        <w:t>นันท์ณรัตน์</w:t>
      </w:r>
      <w:r w:rsidRPr="007641B0">
        <w:rPr>
          <w:rFonts w:ascii="TH SarabunPSK" w:eastAsia="Angsana New" w:hAnsi="TH SarabunPSK" w:cs="TH SarabunPSK"/>
          <w:sz w:val="28"/>
          <w:szCs w:val="28"/>
          <w:cs/>
        </w:rPr>
        <w:t xml:space="preserve"> </w:t>
      </w:r>
      <w:r w:rsidRPr="007641B0">
        <w:rPr>
          <w:rFonts w:ascii="TH SarabunPSK" w:eastAsia="Angsana New" w:hAnsi="TH SarabunPSK" w:cs="TH SarabunPSK" w:hint="cs"/>
          <w:sz w:val="28"/>
          <w:szCs w:val="28"/>
          <w:cs/>
        </w:rPr>
        <w:t>วงศ์จินต์</w:t>
      </w:r>
      <w:r w:rsidR="008B68D0" w:rsidRPr="007641B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7641B0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 w:rsidRPr="007641B0">
        <w:rPr>
          <w:rFonts w:ascii="TH SarabunPSK" w:eastAsia="Angsana New" w:hAnsi="TH SarabunPSK" w:cs="TH SarabunPSK" w:hint="cs"/>
          <w:sz w:val="28"/>
          <w:szCs w:val="28"/>
          <w:cs/>
        </w:rPr>
        <w:t>นาอีม บินอ</w:t>
      </w:r>
      <w:proofErr w:type="spellStart"/>
      <w:r w:rsidRPr="007641B0">
        <w:rPr>
          <w:rFonts w:ascii="TH SarabunPSK" w:eastAsia="Angsana New" w:hAnsi="TH SarabunPSK" w:cs="TH SarabunPSK" w:hint="cs"/>
          <w:sz w:val="28"/>
          <w:szCs w:val="28"/>
          <w:cs/>
        </w:rPr>
        <w:t>ิบ</w:t>
      </w:r>
      <w:proofErr w:type="spellEnd"/>
      <w:r w:rsidRPr="007641B0">
        <w:rPr>
          <w:rFonts w:ascii="TH SarabunPSK" w:eastAsia="Angsana New" w:hAnsi="TH SarabunPSK" w:cs="TH SarabunPSK" w:hint="cs"/>
          <w:sz w:val="28"/>
          <w:szCs w:val="28"/>
          <w:cs/>
        </w:rPr>
        <w:t>รอเฮง</w:t>
      </w:r>
      <w:r w:rsidR="008B68D0" w:rsidRPr="007641B0">
        <w:rPr>
          <w:rStyle w:val="normaltextrun"/>
          <w:rFonts w:ascii="TH Sarabun New" w:hAnsi="TH Sarabun New" w:cs="TH Sarabun New"/>
          <w:sz w:val="28"/>
          <w:szCs w:val="28"/>
          <w:vertAlign w:val="superscript"/>
        </w:rPr>
        <w:t>1</w:t>
      </w:r>
      <w:r w:rsidR="008B68D0" w:rsidRPr="007641B0">
        <w:rPr>
          <w:rStyle w:val="normaltextrun"/>
          <w:rFonts w:ascii="TH Sarabun New" w:hAnsi="TH Sarabun New" w:cs="TH Sarabun New"/>
          <w:sz w:val="28"/>
          <w:szCs w:val="28"/>
        </w:rPr>
        <w:t>*</w:t>
      </w:r>
    </w:p>
    <w:p w14:paraId="4AA881D1" w14:textId="77777777" w:rsidR="008B68D0" w:rsidRPr="00ED58E0" w:rsidRDefault="008B68D0" w:rsidP="008B68D0">
      <w:pPr>
        <w:spacing w:after="0" w:line="240" w:lineRule="auto"/>
        <w:rPr>
          <w:rFonts w:ascii="TH Sarabun New" w:eastAsia="TH Sarabun PSK" w:hAnsi="TH Sarabun New" w:cs="TH Sarabun New"/>
          <w:noProof/>
          <w:sz w:val="16"/>
          <w:szCs w:val="16"/>
          <w:lang w:val="en-US"/>
        </w:rPr>
      </w:pPr>
    </w:p>
    <w:p w14:paraId="00000006" w14:textId="65EDE337" w:rsidR="00090BD3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2F5AE0">
        <w:rPr>
          <w:rFonts w:ascii="TH Sarabun New" w:hAnsi="TH Sarabun New" w:cs="TH Sarabun New" w:hint="cs"/>
          <w:i/>
          <w:iCs/>
          <w:sz w:val="24"/>
          <w:szCs w:val="24"/>
          <w:cs/>
        </w:rPr>
        <w:t>ปทุมธานี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4E0A4F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ตำบล</w:t>
      </w:r>
      <w:r w:rsidR="002F5AE0">
        <w:rPr>
          <w:rFonts w:ascii="TH Sarabun New" w:hAnsi="TH Sarabun New" w:cs="TH Sarabun New" w:hint="cs"/>
          <w:i/>
          <w:iCs/>
          <w:sz w:val="24"/>
          <w:szCs w:val="24"/>
          <w:cs/>
        </w:rPr>
        <w:t>บ่อเงิน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อำเภอ</w:t>
      </w:r>
      <w:r w:rsidR="002F5AE0">
        <w:rPr>
          <w:rFonts w:ascii="TH Sarabun New" w:hAnsi="TH Sarabun New" w:cs="TH Sarabun New" w:hint="cs"/>
          <w:i/>
          <w:iCs/>
          <w:sz w:val="24"/>
          <w:szCs w:val="24"/>
          <w:cs/>
        </w:rPr>
        <w:t>ลาดหลุมแก้ว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eastAsia="TH SarabunPSK" w:hAnsi="TH Sarabun New" w:cs="TH Sarabun New"/>
          <w:i/>
          <w:iCs/>
          <w:sz w:val="24"/>
          <w:szCs w:val="24"/>
          <w:cs/>
          <w:lang w:val="th" w:bidi="th"/>
        </w:rPr>
        <w:t>จังหวัด</w:t>
      </w:r>
      <w:r w:rsidR="002F5AE0">
        <w:rPr>
          <w:rFonts w:ascii="TH Sarabun New" w:hAnsi="TH Sarabun New" w:cs="TH Sarabun New" w:hint="cs"/>
          <w:i/>
          <w:iCs/>
          <w:sz w:val="24"/>
          <w:szCs w:val="24"/>
          <w:cs/>
          <w:lang w:bidi="th"/>
        </w:rPr>
        <w:t>ปทุมธานี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="002F5AE0">
        <w:rPr>
          <w:rFonts w:ascii="TH Sarabun New" w:hAnsi="TH Sarabun New" w:cs="TH Sarabun New" w:hint="cs"/>
          <w:i/>
          <w:iCs/>
          <w:sz w:val="24"/>
          <w:szCs w:val="24"/>
          <w:cs/>
        </w:rPr>
        <w:t>12140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ประเทศไทย</w:t>
      </w:r>
    </w:p>
    <w:p w14:paraId="00000007" w14:textId="00C11855" w:rsidR="00090BD3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8B68D0">
        <w:rPr>
          <w:rFonts w:ascii="TH Sarabun New" w:eastAsia="TH Sarabun PSK" w:hAnsi="TH Sarabun New" w:cs="TH Sarabun New"/>
          <w:i/>
          <w:sz w:val="24"/>
          <w:szCs w:val="24"/>
        </w:rPr>
        <w:t>*E-mail:</w:t>
      </w:r>
      <w:r w:rsidRPr="008B68D0">
        <w:rPr>
          <w:rFonts w:ascii="TH Sarabun New" w:eastAsia="TH Sarabun PSK" w:hAnsi="TH Sarabun New" w:cs="TH Sarabun New"/>
          <w:i/>
          <w:iCs/>
          <w:sz w:val="24"/>
          <w:szCs w:val="24"/>
        </w:rPr>
        <w:t xml:space="preserve"> </w:t>
      </w:r>
      <w:r w:rsidR="002F5AE0">
        <w:rPr>
          <w:rStyle w:val="oypena"/>
          <w:rFonts w:ascii="TH Sarabun New" w:hAnsi="TH Sarabun New" w:cs="TH Sarabun New"/>
          <w:i/>
          <w:iCs/>
          <w:sz w:val="24"/>
          <w:szCs w:val="24"/>
          <w:lang w:val="en-US"/>
        </w:rPr>
        <w:t>kotchaphan.sud</w:t>
      </w:r>
      <w:r w:rsidRPr="008B68D0">
        <w:rPr>
          <w:rStyle w:val="oypena"/>
          <w:rFonts w:ascii="TH Sarabun New" w:hAnsi="TH Sarabun New" w:cs="TH Sarabun New"/>
          <w:i/>
          <w:iCs/>
          <w:sz w:val="24"/>
          <w:szCs w:val="24"/>
        </w:rPr>
        <w:t>@pcshs</w:t>
      </w:r>
      <w:r w:rsidR="002F5AE0">
        <w:rPr>
          <w:rStyle w:val="oypena"/>
          <w:rFonts w:ascii="TH Sarabun New" w:hAnsi="TH Sarabun New" w:cs="TH Sarabun New"/>
          <w:i/>
          <w:iCs/>
          <w:sz w:val="24"/>
          <w:szCs w:val="24"/>
        </w:rPr>
        <w:t>pt</w:t>
      </w:r>
      <w:r w:rsidRPr="008B68D0">
        <w:rPr>
          <w:rStyle w:val="oypena"/>
          <w:rFonts w:ascii="TH Sarabun New" w:hAnsi="TH Sarabun New" w:cs="TH Sarabun New"/>
          <w:i/>
          <w:iCs/>
          <w:sz w:val="24"/>
          <w:szCs w:val="24"/>
        </w:rPr>
        <w:t>.ac.th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3CA29A60" w:rsidR="00090BD3" w:rsidRPr="008B68D0" w:rsidRDefault="00074EED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8B68D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450936E2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6580BFF1" w14:textId="17DFBBF7" w:rsidR="007641B0" w:rsidRPr="00E0174F" w:rsidRDefault="00A13F90" w:rsidP="007641B0">
      <w:pPr>
        <w:spacing w:after="0" w:line="240" w:lineRule="auto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การวิจัยครั้งนี้มีวัตถุประสงค์เพื่อจำแนกหุ้นในดัชนี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/>
          <w:sz w:val="32"/>
          <w:szCs w:val="32"/>
        </w:rPr>
        <w:t>SET50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ตามระดับความเสี่ยง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เปรียบเทียบประสิทธิภาพของกลยุทธ์การลงทุนแบบเงินก้อนครั้งเดียว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E0174F" w:rsidRPr="00E0174F">
        <w:rPr>
          <w:rFonts w:ascii="TH SarabunPSK" w:hAnsi="TH SarabunPSK" w:cs="TH SarabunPSK"/>
          <w:sz w:val="32"/>
          <w:szCs w:val="32"/>
        </w:rPr>
        <w:t xml:space="preserve">Lump Sum: LS)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และการลงทุนแบบถัวเฉลี่ยต้นทุน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E0174F" w:rsidRPr="00E0174F">
        <w:rPr>
          <w:rFonts w:ascii="TH SarabunPSK" w:hAnsi="TH SarabunPSK" w:cs="TH SarabunPSK"/>
          <w:sz w:val="32"/>
          <w:szCs w:val="32"/>
        </w:rPr>
        <w:t xml:space="preserve">Dollar-Cost Averaging: DCA)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ในหุ้นแต่ละระดับความเสี่ยง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เปรียบเทียบผลตอบแทนของแต่ละกลยุทธ์ระหว่างระดับความเสี่ยง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และนำผลการศึกษาไปประยุกต์ใช้ในการออกแบบและพัฒนาเว็บแอปพลิเคชัน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โดยใช้ข้อมูลราคาปิดย้อนหลังของหุ้น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/>
          <w:sz w:val="32"/>
          <w:szCs w:val="32"/>
        </w:rPr>
        <w:t>SET50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ที่จดทะเบียนต่อเนื่องไม่น้อยกว่า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/>
          <w:sz w:val="32"/>
          <w:szCs w:val="32"/>
        </w:rPr>
        <w:t>5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ปี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/>
          <w:sz w:val="32"/>
          <w:szCs w:val="32"/>
        </w:rPr>
        <w:t>44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หลักทรัพย์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ในช่วงปี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พ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>.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ศ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E0174F" w:rsidRPr="00E0174F">
        <w:rPr>
          <w:rFonts w:ascii="TH SarabunPSK" w:hAnsi="TH SarabunPSK" w:cs="TH SarabunPSK"/>
          <w:sz w:val="32"/>
          <w:szCs w:val="32"/>
        </w:rPr>
        <w:t>2564–2568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และจำแนกหุ้นตามค่าเฉลี่ย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/>
          <w:sz w:val="32"/>
          <w:szCs w:val="32"/>
        </w:rPr>
        <w:t xml:space="preserve">Beta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/>
          <w:sz w:val="32"/>
          <w:szCs w:val="32"/>
        </w:rPr>
        <w:t>3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ได้แก่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ความเสี่ยงต่ำ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ความเสี่ยงปานกลาง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และความเสี่ยงสูง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การศึกษากำหนดให้กลยุทธ์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/>
          <w:sz w:val="32"/>
          <w:szCs w:val="32"/>
        </w:rPr>
        <w:t xml:space="preserve">LS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ลงทุนครั้งเดียวด้วยเงินลงทุน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/>
          <w:sz w:val="32"/>
          <w:szCs w:val="32"/>
        </w:rPr>
        <w:t>600,000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และกลยุทธ์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/>
          <w:sz w:val="32"/>
          <w:szCs w:val="32"/>
        </w:rPr>
        <w:t xml:space="preserve">DCA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ลงทุนเดือนละ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/>
          <w:sz w:val="32"/>
          <w:szCs w:val="32"/>
        </w:rPr>
        <w:t>10,000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เป็นระยะเวลา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/>
          <w:sz w:val="32"/>
          <w:szCs w:val="32"/>
        </w:rPr>
        <w:t>60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จากนั้นประเมินประสิทธิภาพของแต่ละกลยุทธ์โดยใช้อัตราผลตอบแทนภายใน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E0174F" w:rsidRPr="00E0174F">
        <w:rPr>
          <w:rFonts w:ascii="TH SarabunPSK" w:hAnsi="TH SarabunPSK" w:cs="TH SarabunPSK"/>
          <w:sz w:val="32"/>
          <w:szCs w:val="32"/>
        </w:rPr>
        <w:t xml:space="preserve">Internal Rate of Return: IRR)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วิเคราะห์ข้อมูลด้วยสถิติเชิงพรรณนา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ใช้การทดสอบ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/>
          <w:sz w:val="32"/>
          <w:szCs w:val="32"/>
        </w:rPr>
        <w:t xml:space="preserve">Paired Sample t-test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เพื่อเปรียบเทียบผลตอบแทนระหว่างกลยุทธ์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/>
          <w:sz w:val="32"/>
          <w:szCs w:val="32"/>
        </w:rPr>
        <w:t xml:space="preserve">LS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/>
          <w:sz w:val="32"/>
          <w:szCs w:val="32"/>
        </w:rPr>
        <w:t xml:space="preserve">DCA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ในแต่ละระดับความเสี่ยง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และใช้การวิเคราะห์ความแปรปรวนทางเดียว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E0174F" w:rsidRPr="00E0174F">
        <w:rPr>
          <w:rFonts w:ascii="TH SarabunPSK" w:hAnsi="TH SarabunPSK" w:cs="TH SarabunPSK"/>
          <w:sz w:val="32"/>
          <w:szCs w:val="32"/>
        </w:rPr>
        <w:t xml:space="preserve">One-way ANOVA)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เพื่อเปรียบเทียบผลตอบแทนของแต่ละกลยุทธ์ระหว่างระดับความเสี่ยง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ผลการศึกษาพบว่าสามารถจำแนกหุ้น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/>
          <w:sz w:val="32"/>
          <w:szCs w:val="32"/>
        </w:rPr>
        <w:t>SET50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ได้เป็น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/>
          <w:sz w:val="32"/>
          <w:szCs w:val="32"/>
        </w:rPr>
        <w:t>3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กลุ่ม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ได้แก่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หุ้นความเสี่ยงต่ำ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/>
          <w:sz w:val="32"/>
          <w:szCs w:val="32"/>
        </w:rPr>
        <w:t>18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หลักทรัพย์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ความเสี่ยงปานกลาง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/>
          <w:sz w:val="32"/>
          <w:szCs w:val="32"/>
        </w:rPr>
        <w:t>3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หลักทรัพย์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และความเสี่ยงสูง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/>
          <w:sz w:val="32"/>
          <w:szCs w:val="32"/>
        </w:rPr>
        <w:t>23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หลักทรัพย์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โดยในกลุ่มหุ้นความเสี่ยงต่ำ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ผลตอบแทนของกลยุทธ์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/>
          <w:sz w:val="32"/>
          <w:szCs w:val="32"/>
        </w:rPr>
        <w:t xml:space="preserve">LS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/>
          <w:sz w:val="32"/>
          <w:szCs w:val="32"/>
        </w:rPr>
        <w:t xml:space="preserve">DCA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ไม่แตกต่างกันอย่างมีนัยสำคัญทางสถิติ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E0174F" w:rsidRPr="00E0174F">
        <w:rPr>
          <w:rFonts w:ascii="TH SarabunPSK" w:hAnsi="TH SarabunPSK" w:cs="TH SarabunPSK"/>
          <w:sz w:val="32"/>
          <w:szCs w:val="32"/>
        </w:rPr>
        <w:t xml:space="preserve">p &gt; 0.05)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ขณะที่ในกลุ่มหุ้นความเสี่ยงปานกลางและความเสี่ยงสูง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กลยุทธ์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/>
          <w:sz w:val="32"/>
          <w:szCs w:val="32"/>
        </w:rPr>
        <w:t xml:space="preserve">LS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ให้ผลตอบแทนสูงกว่ากลยุทธ์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/>
          <w:sz w:val="32"/>
          <w:szCs w:val="32"/>
        </w:rPr>
        <w:t xml:space="preserve">DCA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อย่างมีนัยสำคัญทางสถิติ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E0174F" w:rsidRPr="00E0174F">
        <w:rPr>
          <w:rFonts w:ascii="TH SarabunPSK" w:hAnsi="TH SarabunPSK" w:cs="TH SarabunPSK"/>
          <w:sz w:val="32"/>
          <w:szCs w:val="32"/>
        </w:rPr>
        <w:t>p &lt; 0.05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/>
          <w:sz w:val="32"/>
          <w:szCs w:val="32"/>
        </w:rPr>
        <w:t>p &lt; 0.01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ตามลำดับ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นอกจากนี้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ผลการวิเคราะห์ความแปรปรวนพบว่าผลตอบแทนของทั้งกลยุทธ์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/>
          <w:sz w:val="32"/>
          <w:szCs w:val="32"/>
        </w:rPr>
        <w:t xml:space="preserve">LS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/>
          <w:sz w:val="32"/>
          <w:szCs w:val="32"/>
        </w:rPr>
        <w:t xml:space="preserve">DCA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แตกต่างกันตามระดับความเสี่ยงของหุ้นอย่างมีนัยสำคัญทางสถิติ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แสดงให้เห็นว่าระดับความเสี่ยงของหลักทรัพย์เป็นปัจจัยสำคัญที่มีผลต่อประสิทธิภาพของกลยุทธ์การลงทุน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โดยกลยุทธ์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/>
          <w:sz w:val="32"/>
          <w:szCs w:val="32"/>
        </w:rPr>
        <w:t xml:space="preserve">LS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มีความเหมาะสมกับหุ้นที่มีความเสี่ยงปานกลางและสูง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ส่วนหุ้นความเสี่ยงต่ำสามารถเลือกใช้ทั้งสองกลยุทธ์ได้เนื่องจากให้ผลตอบแทนไม่แตกต่างกันอย่างมีนัยสำคัญ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ทั้งนี้</w:t>
      </w:r>
      <w:r w:rsidR="00E0174F" w:rsidRPr="00E01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74F" w:rsidRPr="00E0174F">
        <w:rPr>
          <w:rFonts w:ascii="TH SarabunPSK" w:hAnsi="TH SarabunPSK" w:cs="TH SarabunPSK" w:hint="cs"/>
          <w:sz w:val="32"/>
          <w:szCs w:val="32"/>
          <w:cs/>
        </w:rPr>
        <w:t>ผลการศึกษาสามารถนำไปประยุกต์ใช้ในการพัฒนาเว็บแอปพลิเคชันเพื่อสนับสนุนการตัดสินใจเลือกกลยุทธ์การลงทุนให้เหมาะสมกับระดับความเสี่ยงของนักลงทุน</w:t>
      </w:r>
    </w:p>
    <w:p w14:paraId="6AE2F67C" w14:textId="77777777" w:rsidR="00E0174F" w:rsidRPr="00CB3AE9" w:rsidRDefault="00E0174F" w:rsidP="007641B0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00000018" w14:textId="1A8D404A" w:rsidR="00090BD3" w:rsidRPr="00687364" w:rsidRDefault="007641B0" w:rsidP="00687364">
      <w:pPr>
        <w:spacing w:after="0" w:line="240" w:lineRule="auto"/>
        <w:rPr>
          <w:rFonts w:ascii="TH SarabunPSK" w:hAnsi="TH SarabunPSK" w:cs="TH SarabunPSK" w:hint="cs"/>
          <w:i/>
          <w:iCs/>
          <w:sz w:val="28"/>
          <w:szCs w:val="28"/>
          <w:cs/>
        </w:rPr>
      </w:pPr>
      <w:proofErr w:type="spellStart"/>
      <w:r w:rsidRPr="00E0174F">
        <w:rPr>
          <w:rFonts w:ascii="TH SarabunPSK" w:hAnsi="TH SarabunPSK" w:cs="TH SarabunPSK" w:hint="cs"/>
          <w:b/>
          <w:bCs/>
          <w:i/>
          <w:iCs/>
          <w:sz w:val="28"/>
          <w:szCs w:val="28"/>
        </w:rPr>
        <w:t>คำสำคัญ</w:t>
      </w:r>
      <w:proofErr w:type="spellEnd"/>
      <w:r w:rsidRPr="00E0174F">
        <w:rPr>
          <w:rFonts w:ascii="TH SarabunPSK" w:hAnsi="TH SarabunPSK" w:cs="TH SarabunPSK" w:hint="cs"/>
          <w:i/>
          <w:iCs/>
          <w:sz w:val="28"/>
          <w:szCs w:val="28"/>
        </w:rPr>
        <w:t>:</w:t>
      </w:r>
      <w:r w:rsidRPr="00E0174F">
        <w:rPr>
          <w:rFonts w:ascii="TH SarabunPSK" w:hAnsi="TH SarabunPSK" w:cs="TH SarabunPSK"/>
          <w:i/>
          <w:iCs/>
          <w:sz w:val="28"/>
          <w:szCs w:val="28"/>
          <w:lang w:val="en-US"/>
        </w:rPr>
        <w:t xml:space="preserve"> SET50</w:t>
      </w:r>
      <w:r w:rsidRPr="00E0174F">
        <w:rPr>
          <w:rFonts w:ascii="TH SarabunPSK" w:hAnsi="TH SarabunPSK" w:cs="TH SarabunPSK" w:hint="cs"/>
          <w:i/>
          <w:iCs/>
          <w:sz w:val="28"/>
          <w:szCs w:val="28"/>
        </w:rPr>
        <w:t xml:space="preserve">, </w:t>
      </w:r>
      <w:r w:rsidRPr="00E0174F">
        <w:rPr>
          <w:rFonts w:ascii="TH SarabunPSK" w:hAnsi="TH SarabunPSK" w:cs="TH SarabunPSK"/>
          <w:i/>
          <w:iCs/>
          <w:sz w:val="28"/>
          <w:szCs w:val="28"/>
        </w:rPr>
        <w:t>Dollar-Cost Averaging: DCA</w:t>
      </w:r>
      <w:r w:rsidRPr="00E0174F">
        <w:rPr>
          <w:rFonts w:ascii="TH SarabunPSK" w:hAnsi="TH SarabunPSK" w:cs="TH SarabunPSK" w:hint="cs"/>
          <w:i/>
          <w:iCs/>
          <w:sz w:val="28"/>
          <w:szCs w:val="28"/>
        </w:rPr>
        <w:t xml:space="preserve">, </w:t>
      </w:r>
      <w:r w:rsidRPr="00E0174F">
        <w:rPr>
          <w:rFonts w:ascii="TH SarabunPSK" w:hAnsi="TH SarabunPSK" w:cs="TH SarabunPSK"/>
          <w:i/>
          <w:iCs/>
          <w:sz w:val="28"/>
          <w:szCs w:val="28"/>
        </w:rPr>
        <w:t>Lump Sum: LS</w:t>
      </w:r>
      <w:r w:rsidR="00E0174F" w:rsidRPr="00E0174F">
        <w:rPr>
          <w:rFonts w:ascii="TH SarabunPSK" w:hAnsi="TH SarabunPSK" w:cs="TH SarabunPSK"/>
          <w:i/>
          <w:iCs/>
          <w:sz w:val="28"/>
          <w:szCs w:val="28"/>
        </w:rPr>
        <w:t xml:space="preserve">, </w:t>
      </w:r>
      <w:r w:rsidR="00E0174F" w:rsidRPr="00E0174F">
        <w:rPr>
          <w:rFonts w:ascii="TH SarabunPSK" w:hAnsi="TH SarabunPSK" w:cs="TH SarabunPSK" w:hint="cs"/>
          <w:i/>
          <w:iCs/>
          <w:sz w:val="28"/>
          <w:szCs w:val="28"/>
          <w:cs/>
        </w:rPr>
        <w:t>อัตราผลตอบแทนภายใน</w:t>
      </w:r>
      <w:r w:rsidR="00E0174F" w:rsidRPr="00E0174F">
        <w:rPr>
          <w:rFonts w:ascii="TH SarabunPSK" w:hAnsi="TH SarabunPSK" w:cs="TH SarabunPSK"/>
          <w:i/>
          <w:iCs/>
          <w:sz w:val="28"/>
          <w:szCs w:val="28"/>
          <w:cs/>
        </w:rPr>
        <w:t xml:space="preserve"> (</w:t>
      </w:r>
      <w:r w:rsidR="00E0174F" w:rsidRPr="00E0174F">
        <w:rPr>
          <w:rFonts w:ascii="TH SarabunPSK" w:hAnsi="TH SarabunPSK" w:cs="TH SarabunPSK"/>
          <w:i/>
          <w:iCs/>
          <w:sz w:val="28"/>
          <w:szCs w:val="28"/>
        </w:rPr>
        <w:t xml:space="preserve">IRR), </w:t>
      </w:r>
      <w:r w:rsidR="00E0174F" w:rsidRPr="00E0174F">
        <w:rPr>
          <w:rFonts w:ascii="TH SarabunPSK" w:hAnsi="TH SarabunPSK" w:cs="TH SarabunPSK" w:hint="cs"/>
          <w:i/>
          <w:iCs/>
          <w:sz w:val="28"/>
          <w:szCs w:val="28"/>
          <w:cs/>
        </w:rPr>
        <w:t>ค่าเบต้า</w:t>
      </w:r>
      <w:r w:rsidR="00E0174F" w:rsidRPr="00E0174F">
        <w:rPr>
          <w:rFonts w:ascii="TH SarabunPSK" w:hAnsi="TH SarabunPSK" w:cs="TH SarabunPSK"/>
          <w:i/>
          <w:iCs/>
          <w:sz w:val="28"/>
          <w:szCs w:val="28"/>
          <w:cs/>
        </w:rPr>
        <w:t xml:space="preserve"> (</w:t>
      </w:r>
      <w:r w:rsidR="00E0174F" w:rsidRPr="00E0174F">
        <w:rPr>
          <w:rFonts w:ascii="TH SarabunPSK" w:hAnsi="TH SarabunPSK" w:cs="TH SarabunPSK"/>
          <w:i/>
          <w:iCs/>
          <w:sz w:val="28"/>
          <w:szCs w:val="28"/>
        </w:rPr>
        <w:t>Beta)</w:t>
      </w:r>
    </w:p>
    <w:sectPr w:rsidR="00090BD3" w:rsidRPr="006873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44C72" w14:textId="77777777" w:rsidR="008F5DF0" w:rsidRDefault="008F5DF0">
      <w:pPr>
        <w:spacing w:after="0" w:line="240" w:lineRule="auto"/>
      </w:pPr>
      <w:r>
        <w:separator/>
      </w:r>
    </w:p>
  </w:endnote>
  <w:endnote w:type="continuationSeparator" w:id="0">
    <w:p w14:paraId="0524C2B5" w14:textId="77777777" w:rsidR="008F5DF0" w:rsidRDefault="008F5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12B04E83">
          <wp:simplePos x="0" y="0"/>
          <wp:positionH relativeFrom="page">
            <wp:posOffset>0</wp:posOffset>
          </wp:positionH>
          <wp:positionV relativeFrom="paragraph">
            <wp:posOffset>-50537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E6256" w14:textId="77777777" w:rsidR="008F5DF0" w:rsidRDefault="008F5DF0">
      <w:pPr>
        <w:spacing w:after="0" w:line="240" w:lineRule="auto"/>
      </w:pPr>
      <w:r>
        <w:separator/>
      </w:r>
    </w:p>
  </w:footnote>
  <w:footnote w:type="continuationSeparator" w:id="0">
    <w:p w14:paraId="53C4033E" w14:textId="77777777" w:rsidR="008F5DF0" w:rsidRDefault="008F5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C4197"/>
    <w:rsid w:val="002F5AE0"/>
    <w:rsid w:val="00316278"/>
    <w:rsid w:val="003B5D3F"/>
    <w:rsid w:val="0048372D"/>
    <w:rsid w:val="004E0A4F"/>
    <w:rsid w:val="005D4CC6"/>
    <w:rsid w:val="005E0658"/>
    <w:rsid w:val="00687364"/>
    <w:rsid w:val="006932F6"/>
    <w:rsid w:val="007604B5"/>
    <w:rsid w:val="007641B0"/>
    <w:rsid w:val="0083541A"/>
    <w:rsid w:val="0086094A"/>
    <w:rsid w:val="00873F60"/>
    <w:rsid w:val="00894659"/>
    <w:rsid w:val="008B68D0"/>
    <w:rsid w:val="008F5DF0"/>
    <w:rsid w:val="00962C47"/>
    <w:rsid w:val="009860EB"/>
    <w:rsid w:val="009D6F84"/>
    <w:rsid w:val="00A003C2"/>
    <w:rsid w:val="00A13F90"/>
    <w:rsid w:val="00B50D83"/>
    <w:rsid w:val="00B57C95"/>
    <w:rsid w:val="00BD4C9D"/>
    <w:rsid w:val="00CC11A6"/>
    <w:rsid w:val="00D23736"/>
    <w:rsid w:val="00DE1AAB"/>
    <w:rsid w:val="00E0174F"/>
    <w:rsid w:val="00EC0167"/>
    <w:rsid w:val="00ED58E0"/>
    <w:rsid w:val="00EE61BA"/>
    <w:rsid w:val="00EE7534"/>
    <w:rsid w:val="00EF4540"/>
    <w:rsid w:val="00F9596E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74F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B68D0"/>
  </w:style>
  <w:style w:type="character" w:customStyle="1" w:styleId="oypena">
    <w:name w:val="oypena"/>
    <w:basedOn w:val="a0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613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7CB08D-C8C1-4CB2-ACF2-6BB0AB175AF6}">
  <we:reference id="wa104381909" version="3.26.0.0" store="th-TH" storeType="OMEX"/>
  <we:alternateReferences>
    <we:reference id="wa104381909" version="3.26.0.0" store="wa104381909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Ok Krub</cp:lastModifiedBy>
  <cp:revision>11</cp:revision>
  <cp:lastPrinted>2026-05-19T04:18:00Z</cp:lastPrinted>
  <dcterms:created xsi:type="dcterms:W3CDTF">2026-05-19T04:01:00Z</dcterms:created>
  <dcterms:modified xsi:type="dcterms:W3CDTF">2026-07-14T13:32:00Z</dcterms:modified>
</cp:coreProperties>
</file>